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88C04" w14:textId="68BB4FF3" w:rsidR="00E06797" w:rsidRPr="005D550B" w:rsidRDefault="002667C1">
      <w:pPr>
        <w:pBdr>
          <w:top w:val="nil"/>
          <w:left w:val="nil"/>
          <w:bottom w:val="nil"/>
          <w:right w:val="nil"/>
          <w:between w:val="nil"/>
        </w:pBdr>
        <w:rPr>
          <w:rFonts w:ascii="Cambria" w:eastAsia="Cambria" w:hAnsi="Cambria" w:cs="Cambria"/>
          <w:b/>
          <w:bCs/>
          <w:sz w:val="22"/>
          <w:szCs w:val="22"/>
        </w:rPr>
      </w:pPr>
      <w:r w:rsidRPr="005D550B">
        <w:rPr>
          <w:rFonts w:ascii="Cambria" w:eastAsia="Cambria" w:hAnsi="Cambria" w:cs="Cambria"/>
          <w:b/>
          <w:bCs/>
          <w:sz w:val="32"/>
          <w:szCs w:val="32"/>
        </w:rPr>
        <w:t>Socio-environmental challenges in the development of geothermal power plants in Geothermal Island</w:t>
      </w:r>
    </w:p>
    <w:p w14:paraId="7CF069AA" w14:textId="77777777" w:rsidR="00E06797" w:rsidRPr="005D550B" w:rsidRDefault="00E06797">
      <w:pPr>
        <w:rPr>
          <w:rFonts w:ascii="Cambria" w:eastAsia="Cambria" w:hAnsi="Cambria" w:cs="Cambria"/>
          <w:b/>
          <w:bCs/>
          <w:sz w:val="22"/>
          <w:szCs w:val="22"/>
        </w:rPr>
      </w:pPr>
    </w:p>
    <w:p w14:paraId="2E129466" w14:textId="63BAC905" w:rsidR="00E06797" w:rsidRPr="005D550B" w:rsidRDefault="00073306">
      <w:pPr>
        <w:jc w:val="left"/>
        <w:rPr>
          <w:rFonts w:ascii="Cambria" w:eastAsia="Cambria" w:hAnsi="Cambria" w:cs="Cambria"/>
          <w:b/>
          <w:bCs/>
          <w:sz w:val="22"/>
          <w:szCs w:val="22"/>
        </w:rPr>
      </w:pPr>
      <w:r w:rsidRPr="005D550B">
        <w:rPr>
          <w:rFonts w:ascii="Cambria" w:eastAsia="Cambria" w:hAnsi="Cambria" w:cs="Cambria"/>
          <w:b/>
          <w:bCs/>
          <w:sz w:val="22"/>
          <w:szCs w:val="22"/>
        </w:rPr>
        <w:t>Andre Bonardo Yonatan Sitorus</w:t>
      </w:r>
      <w:proofErr w:type="gramStart"/>
      <w:r w:rsidR="0068743D" w:rsidRPr="005D550B">
        <w:rPr>
          <w:rFonts w:ascii="Cambria" w:eastAsia="Cambria" w:hAnsi="Cambria" w:cs="Cambria"/>
          <w:b/>
          <w:bCs/>
          <w:sz w:val="22"/>
          <w:szCs w:val="22"/>
          <w:vertAlign w:val="superscript"/>
        </w:rPr>
        <w:t>1</w:t>
      </w:r>
      <w:r w:rsidR="00A936EE" w:rsidRPr="005D550B">
        <w:rPr>
          <w:rFonts w:ascii="Cambria" w:eastAsia="Cambria" w:hAnsi="Cambria" w:cs="Cambria"/>
          <w:b/>
          <w:bCs/>
          <w:sz w:val="22"/>
          <w:szCs w:val="22"/>
          <w:vertAlign w:val="superscript"/>
        </w:rPr>
        <w:t>,</w:t>
      </w:r>
      <w:r w:rsidR="00A936EE" w:rsidRPr="005D550B">
        <w:rPr>
          <w:rFonts w:ascii="Cambria" w:eastAsia="Cambria" w:hAnsi="Cambria" w:cs="Cambria"/>
          <w:b/>
          <w:bCs/>
          <w:sz w:val="22"/>
          <w:szCs w:val="22"/>
        </w:rPr>
        <w:t>*</w:t>
      </w:r>
      <w:proofErr w:type="gramEnd"/>
    </w:p>
    <w:p w14:paraId="19D3C76D" w14:textId="5D97A4C8" w:rsidR="00E06797" w:rsidRPr="005D550B" w:rsidRDefault="002667C1">
      <w:pPr>
        <w:numPr>
          <w:ilvl w:val="0"/>
          <w:numId w:val="1"/>
        </w:numPr>
        <w:pBdr>
          <w:top w:val="nil"/>
          <w:left w:val="nil"/>
          <w:bottom w:val="nil"/>
          <w:right w:val="nil"/>
          <w:between w:val="nil"/>
        </w:pBdr>
        <w:ind w:left="142" w:hanging="151"/>
        <w:rPr>
          <w:rFonts w:ascii="Cambria" w:eastAsia="Cambria" w:hAnsi="Cambria" w:cs="Cambria"/>
          <w:color w:val="000000" w:themeColor="text1"/>
        </w:rPr>
      </w:pPr>
      <w:r w:rsidRPr="005D550B">
        <w:rPr>
          <w:rFonts w:ascii="Cambria" w:eastAsia="Cambria" w:hAnsi="Cambria" w:cs="Cambria"/>
          <w:i/>
          <w:iCs/>
          <w:color w:val="000000"/>
        </w:rPr>
        <w:t xml:space="preserve">Department of Environmental, Graduate School of Sustainable Development, Universitas Indonesia, Central Jakarta, </w:t>
      </w:r>
      <w:r w:rsidRPr="005D550B">
        <w:rPr>
          <w:rFonts w:ascii="Cambria" w:eastAsia="Cambria" w:hAnsi="Cambria" w:cs="Cambria"/>
          <w:i/>
          <w:iCs/>
          <w:color w:val="000000" w:themeColor="text1"/>
        </w:rPr>
        <w:t>Special Capital Region of Jakarta 10440, Indonesia</w:t>
      </w:r>
      <w:r w:rsidR="0068743D" w:rsidRPr="005D550B">
        <w:rPr>
          <w:rFonts w:ascii="Cambria" w:eastAsia="Cambria" w:hAnsi="Cambria" w:cs="Cambria"/>
          <w:i/>
          <w:iCs/>
          <w:color w:val="000000" w:themeColor="text1"/>
        </w:rPr>
        <w:t>.</w:t>
      </w:r>
      <w:r w:rsidR="00A936EE" w:rsidRPr="005D550B">
        <w:rPr>
          <w:rFonts w:ascii="Cambria" w:eastAsia="Cambria" w:hAnsi="Cambria" w:cs="Cambria"/>
          <w:i/>
          <w:iCs/>
          <w:color w:val="000000" w:themeColor="text1"/>
        </w:rPr>
        <w:t xml:space="preserve"> </w:t>
      </w:r>
    </w:p>
    <w:p w14:paraId="053F10FD" w14:textId="2C0FB14C" w:rsidR="00E06797" w:rsidRPr="005D550B" w:rsidRDefault="002667C1">
      <w:pPr>
        <w:rPr>
          <w:rFonts w:ascii="Cambria" w:eastAsia="Cambria" w:hAnsi="Cambria" w:cs="Cambria"/>
          <w:b/>
          <w:bCs/>
          <w:color w:val="000000" w:themeColor="text1"/>
        </w:rPr>
      </w:pPr>
      <w:r w:rsidRPr="005D550B">
        <w:rPr>
          <w:rFonts w:ascii="Cambria" w:hAnsi="Cambria"/>
          <w:color w:val="000000" w:themeColor="text1"/>
        </w:rPr>
        <w:t xml:space="preserve">*Correspondence: </w:t>
      </w:r>
      <w:hyperlink r:id="rId8" w:history="1">
        <w:r w:rsidRPr="005D550B">
          <w:rPr>
            <w:rStyle w:val="Hyperlink"/>
            <w:rFonts w:ascii="Cambria" w:hAnsi="Cambria"/>
            <w:color w:val="000000" w:themeColor="text1"/>
            <w:u w:val="none"/>
          </w:rPr>
          <w:t>andre.bonardo51@ui.ac.id</w:t>
        </w:r>
      </w:hyperlink>
      <w:r w:rsidRPr="005D550B">
        <w:rPr>
          <w:rFonts w:ascii="Cambria" w:hAnsi="Cambria"/>
          <w:color w:val="000000" w:themeColor="text1"/>
        </w:rPr>
        <w:t xml:space="preserve"> </w:t>
      </w:r>
    </w:p>
    <w:p w14:paraId="5F7B7B8C" w14:textId="77777777" w:rsidR="00E06797" w:rsidRPr="005D550B" w:rsidRDefault="00E06797">
      <w:pPr>
        <w:pBdr>
          <w:top w:val="nil"/>
          <w:left w:val="nil"/>
          <w:bottom w:val="single" w:sz="12" w:space="1" w:color="000000"/>
          <w:right w:val="nil"/>
          <w:between w:val="nil"/>
        </w:pBdr>
        <w:rPr>
          <w:rFonts w:ascii="Cambria" w:eastAsia="Cambria" w:hAnsi="Cambria" w:cs="Cambria"/>
          <w:b/>
          <w:bCs/>
          <w:sz w:val="22"/>
          <w:szCs w:val="22"/>
        </w:rPr>
      </w:pPr>
    </w:p>
    <w:p w14:paraId="1F3F8832" w14:textId="77777777" w:rsidR="00E06797" w:rsidRPr="005D550B" w:rsidRDefault="00E06797">
      <w:pPr>
        <w:pBdr>
          <w:left w:val="nil"/>
          <w:bottom w:val="nil"/>
          <w:right w:val="nil"/>
          <w:between w:val="nil"/>
        </w:pBdr>
        <w:rPr>
          <w:rFonts w:ascii="Cambria" w:eastAsia="Cambria" w:hAnsi="Cambria" w:cs="Cambria"/>
          <w:sz w:val="22"/>
          <w:szCs w:val="22"/>
        </w:rPr>
      </w:pPr>
    </w:p>
    <w:p w14:paraId="42832DFB" w14:textId="1A80CE77" w:rsidR="005D550B" w:rsidRPr="005D550B" w:rsidRDefault="005D550B" w:rsidP="005D550B">
      <w:pPr>
        <w:pBdr>
          <w:top w:val="nil"/>
          <w:left w:val="nil"/>
          <w:bottom w:val="nil"/>
          <w:right w:val="nil"/>
          <w:between w:val="nil"/>
        </w:pBdr>
        <w:tabs>
          <w:tab w:val="left" w:pos="3402"/>
          <w:tab w:val="left" w:pos="6379"/>
        </w:tabs>
        <w:ind w:right="-46"/>
        <w:rPr>
          <w:rFonts w:ascii="Cambria" w:eastAsia="Cambria" w:hAnsi="Cambria" w:cs="Cambria"/>
          <w:color w:val="0000FF"/>
          <w:sz w:val="18"/>
          <w:szCs w:val="18"/>
        </w:rPr>
      </w:pPr>
      <w:r w:rsidRPr="005D550B">
        <w:rPr>
          <w:rFonts w:ascii="Cambria" w:eastAsia="Cambria" w:hAnsi="Cambria" w:cs="Cambria"/>
          <w:color w:val="0000FF"/>
          <w:sz w:val="18"/>
          <w:szCs w:val="18"/>
        </w:rPr>
        <w:t xml:space="preserve">Received Date: May 26, 2026 </w:t>
      </w:r>
      <w:r w:rsidRPr="005D550B">
        <w:rPr>
          <w:rFonts w:ascii="Cambria" w:eastAsia="Cambria" w:hAnsi="Cambria" w:cs="Cambria"/>
          <w:color w:val="0000FF"/>
          <w:sz w:val="18"/>
          <w:szCs w:val="18"/>
        </w:rPr>
        <w:tab/>
        <w:t>Revised Date: June 29, 2026                      Accepted Date: July 24, 2026</w:t>
      </w:r>
    </w:p>
    <w:p w14:paraId="5CFBECDB" w14:textId="77777777" w:rsidR="00E06797" w:rsidRPr="005D550B" w:rsidRDefault="00E06797">
      <w:pPr>
        <w:pBdr>
          <w:top w:val="nil"/>
          <w:left w:val="nil"/>
          <w:bottom w:val="nil"/>
          <w:right w:val="nil"/>
          <w:between w:val="nil"/>
        </w:pBdr>
        <w:ind w:left="2608"/>
        <w:rPr>
          <w:rFonts w:ascii="Cambria" w:eastAsia="Cambria" w:hAnsi="Cambria" w:cs="Cambria"/>
          <w:b/>
          <w:bCs/>
          <w:sz w:val="22"/>
          <w:szCs w:val="22"/>
        </w:rPr>
      </w:pPr>
    </w:p>
    <w:p w14:paraId="47BA7243" w14:textId="77777777" w:rsidR="00E06797" w:rsidRPr="005D550B" w:rsidRDefault="00A936EE">
      <w:pPr>
        <w:pBdr>
          <w:top w:val="nil"/>
          <w:left w:val="nil"/>
          <w:bottom w:val="nil"/>
          <w:right w:val="nil"/>
          <w:between w:val="nil"/>
        </w:pBdr>
        <w:jc w:val="left"/>
        <w:rPr>
          <w:rFonts w:ascii="Cambria" w:eastAsia="Cambria" w:hAnsi="Cambria" w:cs="Cambria"/>
          <w:color w:val="C00000"/>
          <w:sz w:val="24"/>
          <w:szCs w:val="24"/>
        </w:rPr>
      </w:pPr>
      <w:r w:rsidRPr="005D550B">
        <w:rPr>
          <w:rFonts w:ascii="Cambria" w:eastAsia="Cambria" w:hAnsi="Cambria" w:cs="Cambria"/>
          <w:b/>
          <w:bCs/>
          <w:sz w:val="24"/>
          <w:szCs w:val="24"/>
        </w:rPr>
        <w:t xml:space="preserve">ABSTRACT </w:t>
      </w:r>
    </w:p>
    <w:p w14:paraId="4F5E8C81" w14:textId="658CC2F1" w:rsidR="002667C1" w:rsidRPr="005D550B" w:rsidRDefault="002667C1" w:rsidP="002667C1">
      <w:pPr>
        <w:pBdr>
          <w:top w:val="nil"/>
          <w:left w:val="nil"/>
          <w:bottom w:val="nil"/>
          <w:right w:val="nil"/>
          <w:between w:val="nil"/>
        </w:pBdr>
        <w:rPr>
          <w:rFonts w:ascii="Cambria" w:eastAsia="Cambria" w:hAnsi="Cambria" w:cs="Cambria"/>
          <w:sz w:val="18"/>
          <w:szCs w:val="18"/>
          <w:lang w:val="en-ID"/>
        </w:rPr>
      </w:pPr>
      <w:r w:rsidRPr="005D550B">
        <w:rPr>
          <w:rFonts w:ascii="Cambria" w:eastAsia="Cambria" w:hAnsi="Cambria" w:cs="Cambria"/>
          <w:b/>
          <w:bCs/>
          <w:sz w:val="18"/>
          <w:szCs w:val="18"/>
          <w:lang w:val="en-ID"/>
        </w:rPr>
        <w:t>Background:</w:t>
      </w:r>
      <w:r w:rsidRPr="005D550B">
        <w:rPr>
          <w:rFonts w:ascii="Cambria" w:eastAsia="Cambria" w:hAnsi="Cambria" w:cs="Cambria"/>
          <w:sz w:val="18"/>
          <w:szCs w:val="18"/>
          <w:lang w:val="en-ID"/>
        </w:rPr>
        <w:t xml:space="preserve"> Indonesia’s geothermal expansion is positioned as a flagship pathway to its net zero commitment, with Flores Island legally designated as </w:t>
      </w:r>
      <w:r w:rsidRPr="00CA410E">
        <w:rPr>
          <w:rFonts w:ascii="Cambria" w:eastAsia="Cambria" w:hAnsi="Cambria" w:cs="Cambria"/>
          <w:i/>
          <w:iCs/>
          <w:sz w:val="18"/>
          <w:szCs w:val="18"/>
          <w:lang w:val="en-ID"/>
        </w:rPr>
        <w:t>Pulau Panas Bumi</w:t>
      </w:r>
      <w:r w:rsidRPr="005D550B">
        <w:rPr>
          <w:rFonts w:ascii="Cambria" w:eastAsia="Cambria" w:hAnsi="Cambria" w:cs="Cambria"/>
          <w:sz w:val="18"/>
          <w:szCs w:val="18"/>
          <w:lang w:val="en-ID"/>
        </w:rPr>
        <w:t xml:space="preserve"> (Geothermal Island). Yet existing scholarship on geothermal transitions remains anchored in Java-centric, technocratic evaluations of policy and emission targets, leaving the spatial, hydrological, and procedural injustices unfolding in populated, semi-arid, customary landscapes systematically under-examined. This study analyses the socio-environmental challenges of geothermal expansion in Flores through a political ecology framework, mobilising the theses of conservation and control, environmental conflict and exclusion, and formation of environmental subjects. </w:t>
      </w:r>
      <w:r w:rsidRPr="005D550B">
        <w:rPr>
          <w:rFonts w:ascii="Cambria" w:eastAsia="Cambria" w:hAnsi="Cambria" w:cs="Cambria"/>
          <w:b/>
          <w:bCs/>
          <w:sz w:val="18"/>
          <w:szCs w:val="18"/>
          <w:lang w:val="en-ID"/>
        </w:rPr>
        <w:t>Methods:</w:t>
      </w:r>
      <w:r w:rsidRPr="005D550B">
        <w:rPr>
          <w:rFonts w:ascii="Cambria" w:eastAsia="Cambria" w:hAnsi="Cambria" w:cs="Cambria"/>
          <w:sz w:val="18"/>
          <w:szCs w:val="18"/>
          <w:lang w:val="en-ID"/>
        </w:rPr>
        <w:t> A desk-based mixed-methods design integrates GIS intersection analysis of 6 Geothermal Working Areas</w:t>
      </w:r>
      <w:r w:rsidR="002765E7">
        <w:rPr>
          <w:rFonts w:ascii="Cambria" w:eastAsia="Cambria" w:hAnsi="Cambria" w:cs="Cambria"/>
          <w:sz w:val="18"/>
          <w:szCs w:val="18"/>
          <w:lang w:val="en-ID"/>
        </w:rPr>
        <w:t>/</w:t>
      </w:r>
      <w:r w:rsidR="002765E7" w:rsidRPr="002765E7">
        <w:rPr>
          <w:rFonts w:ascii="Cambria" w:eastAsia="Cambria" w:hAnsi="Cambria" w:cs="Cambria"/>
          <w:i/>
          <w:iCs/>
          <w:sz w:val="18"/>
          <w:szCs w:val="18"/>
          <w:lang w:val="en-ID"/>
        </w:rPr>
        <w:t xml:space="preserve">Wilayah </w:t>
      </w:r>
      <w:proofErr w:type="spellStart"/>
      <w:r w:rsidR="002765E7" w:rsidRPr="002765E7">
        <w:rPr>
          <w:rFonts w:ascii="Cambria" w:eastAsia="Cambria" w:hAnsi="Cambria" w:cs="Cambria"/>
          <w:i/>
          <w:iCs/>
          <w:sz w:val="18"/>
          <w:szCs w:val="18"/>
          <w:lang w:val="en-ID"/>
        </w:rPr>
        <w:t>Kerja</w:t>
      </w:r>
      <w:proofErr w:type="spellEnd"/>
      <w:r w:rsidR="002765E7" w:rsidRPr="002765E7">
        <w:rPr>
          <w:rFonts w:ascii="Cambria" w:eastAsia="Cambria" w:hAnsi="Cambria" w:cs="Cambria"/>
          <w:i/>
          <w:iCs/>
          <w:sz w:val="18"/>
          <w:szCs w:val="18"/>
          <w:lang w:val="en-ID"/>
        </w:rPr>
        <w:t xml:space="preserve"> Panas Bumi</w:t>
      </w:r>
      <w:r w:rsidR="002765E7" w:rsidRPr="005D550B">
        <w:rPr>
          <w:rFonts w:ascii="Cambria" w:eastAsia="Cambria" w:hAnsi="Cambria" w:cs="Cambria"/>
          <w:sz w:val="18"/>
          <w:szCs w:val="18"/>
          <w:lang w:val="en-ID"/>
        </w:rPr>
        <w:t xml:space="preserve"> </w:t>
      </w:r>
      <w:r w:rsidRPr="005D550B">
        <w:rPr>
          <w:rFonts w:ascii="Cambria" w:eastAsia="Cambria" w:hAnsi="Cambria" w:cs="Cambria"/>
          <w:sz w:val="18"/>
          <w:szCs w:val="18"/>
          <w:lang w:val="en-ID"/>
        </w:rPr>
        <w:t>(WKPs) with critical watersheds and BRWA-mapped customary territories, alongside a directed thematic analysis of 184 coded quotations extracted from 40 Dewan Pers-verified media reports and civil-society publications (2017–2026). </w:t>
      </w:r>
      <w:r w:rsidRPr="005D550B">
        <w:rPr>
          <w:rFonts w:ascii="Cambria" w:eastAsia="Cambria" w:hAnsi="Cambria" w:cs="Cambria"/>
          <w:b/>
          <w:bCs/>
          <w:sz w:val="18"/>
          <w:szCs w:val="18"/>
          <w:lang w:val="en-ID"/>
        </w:rPr>
        <w:t>Findings:</w:t>
      </w:r>
      <w:r w:rsidRPr="005D550B">
        <w:rPr>
          <w:rFonts w:ascii="Cambria" w:eastAsia="Cambria" w:hAnsi="Cambria" w:cs="Cambria"/>
          <w:sz w:val="18"/>
          <w:szCs w:val="18"/>
          <w:lang w:val="en-ID"/>
        </w:rPr>
        <w:t xml:space="preserve"> Six WKPs occupy 7.3% of Flores' landmass and overlap 18 critical watersheds in a semi-arid agrarian setting; WKP </w:t>
      </w:r>
      <w:proofErr w:type="spellStart"/>
      <w:r w:rsidRPr="005D550B">
        <w:rPr>
          <w:rFonts w:ascii="Cambria" w:eastAsia="Cambria" w:hAnsi="Cambria" w:cs="Cambria"/>
          <w:sz w:val="18"/>
          <w:szCs w:val="18"/>
          <w:lang w:val="en-ID"/>
        </w:rPr>
        <w:t>Sokoria</w:t>
      </w:r>
      <w:proofErr w:type="spellEnd"/>
      <w:r w:rsidRPr="005D550B">
        <w:rPr>
          <w:rFonts w:ascii="Cambria" w:eastAsia="Cambria" w:hAnsi="Cambria" w:cs="Cambria"/>
          <w:sz w:val="18"/>
          <w:szCs w:val="18"/>
          <w:lang w:val="en-ID"/>
        </w:rPr>
        <w:t xml:space="preserve"> entirely engulfs the 583.56-hectare verified </w:t>
      </w:r>
      <w:r w:rsidR="001C5062" w:rsidRPr="001C5062">
        <w:rPr>
          <w:rFonts w:ascii="Cambria" w:eastAsia="Cambria" w:hAnsi="Cambria" w:cs="Cambria"/>
          <w:sz w:val="18"/>
          <w:szCs w:val="18"/>
          <w:lang w:val="en-ID"/>
        </w:rPr>
        <w:t xml:space="preserve">customary areas </w:t>
      </w:r>
      <w:r w:rsidR="001C5062">
        <w:rPr>
          <w:rFonts w:ascii="Cambria" w:eastAsia="Cambria" w:hAnsi="Cambria" w:cs="Cambria"/>
          <w:sz w:val="18"/>
          <w:szCs w:val="18"/>
          <w:lang w:val="en-ID"/>
        </w:rPr>
        <w:t xml:space="preserve">of </w:t>
      </w:r>
      <w:r w:rsidRPr="005D550B">
        <w:rPr>
          <w:rFonts w:ascii="Cambria" w:eastAsia="Cambria" w:hAnsi="Cambria" w:cs="Cambria"/>
          <w:sz w:val="18"/>
          <w:szCs w:val="18"/>
          <w:lang w:val="en-ID"/>
        </w:rPr>
        <w:t xml:space="preserve">Nua Saga, while WKP Oka Ile Ange enclosed 51% of </w:t>
      </w:r>
      <w:r w:rsidR="00E9016C" w:rsidRPr="00E9016C">
        <w:rPr>
          <w:rFonts w:ascii="Cambria" w:eastAsia="Cambria" w:hAnsi="Cambria" w:cs="Cambria"/>
          <w:sz w:val="18"/>
          <w:szCs w:val="18"/>
          <w:lang w:val="en-ID"/>
        </w:rPr>
        <w:t xml:space="preserve">customary areas of </w:t>
      </w:r>
      <w:proofErr w:type="spellStart"/>
      <w:r w:rsidRPr="005D550B">
        <w:rPr>
          <w:rFonts w:ascii="Cambria" w:eastAsia="Cambria" w:hAnsi="Cambria" w:cs="Cambria"/>
          <w:sz w:val="18"/>
          <w:szCs w:val="18"/>
          <w:lang w:val="en-ID"/>
        </w:rPr>
        <w:t>Lewolema</w:t>
      </w:r>
      <w:proofErr w:type="spellEnd"/>
      <w:r w:rsidRPr="005D550B">
        <w:rPr>
          <w:rFonts w:ascii="Cambria" w:eastAsia="Cambria" w:hAnsi="Cambria" w:cs="Cambria"/>
          <w:sz w:val="18"/>
          <w:szCs w:val="18"/>
          <w:lang w:val="en-ID"/>
        </w:rPr>
        <w:t>. Discourse analysis reveals that 70% of state voice concentrates in only 4 elite figures, while community resistance disperses across 28 grassroots actors centred on water and livelihood loss. The integration of spatial enclosure, procedural FPIC failure, and discursive delegitimization operate as systemic structural violence rather than implementation friction. </w:t>
      </w:r>
      <w:r w:rsidRPr="005D550B">
        <w:rPr>
          <w:rFonts w:ascii="Cambria" w:eastAsia="Cambria" w:hAnsi="Cambria" w:cs="Cambria"/>
          <w:b/>
          <w:bCs/>
          <w:sz w:val="18"/>
          <w:szCs w:val="18"/>
          <w:lang w:val="en-ID"/>
        </w:rPr>
        <w:t>Conclusion:</w:t>
      </w:r>
      <w:r w:rsidRPr="005D550B">
        <w:rPr>
          <w:rFonts w:ascii="Cambria" w:eastAsia="Cambria" w:hAnsi="Cambria" w:cs="Cambria"/>
          <w:sz w:val="18"/>
          <w:szCs w:val="18"/>
          <w:lang w:val="en-ID"/>
        </w:rPr>
        <w:t> Flores's geothermal transition reproduces extractive logics under a green vocabulary, constituting green colonialism rather than environmental justice. Achieving a genuinely just transition requires restructuring national spatial governance, legally protecting indigenous territories from overarching strategic mandates, and enforcing substantive FPIC to prevent the exclusionary capture of local socio-ecological systems. </w:t>
      </w:r>
      <w:r w:rsidRPr="005D550B">
        <w:rPr>
          <w:rFonts w:ascii="Cambria" w:eastAsia="Cambria" w:hAnsi="Cambria" w:cs="Cambria"/>
          <w:b/>
          <w:bCs/>
          <w:sz w:val="18"/>
          <w:szCs w:val="18"/>
          <w:lang w:val="en-ID"/>
        </w:rPr>
        <w:t>Novelty/Originality of this article:</w:t>
      </w:r>
      <w:r w:rsidRPr="005D550B">
        <w:rPr>
          <w:rFonts w:ascii="Cambria" w:eastAsia="Cambria" w:hAnsi="Cambria" w:cs="Cambria"/>
          <w:sz w:val="18"/>
          <w:szCs w:val="18"/>
          <w:lang w:val="en-ID"/>
        </w:rPr>
        <w:t> This study reframes Java-centric geothermal expansion by demonstrating how green energy deployment in semi-arid customary islands operates as systemic structural violence and spatial green colonialism.</w:t>
      </w:r>
    </w:p>
    <w:p w14:paraId="5E82041B" w14:textId="77777777" w:rsidR="00E06797" w:rsidRPr="005D550B" w:rsidRDefault="00E06797">
      <w:pPr>
        <w:pBdr>
          <w:top w:val="nil"/>
          <w:left w:val="nil"/>
          <w:bottom w:val="nil"/>
          <w:right w:val="nil"/>
          <w:between w:val="nil"/>
        </w:pBdr>
        <w:ind w:left="2835"/>
        <w:jc w:val="right"/>
        <w:rPr>
          <w:rFonts w:ascii="Cambria" w:eastAsia="Cambria" w:hAnsi="Cambria" w:cs="Cambria"/>
          <w:sz w:val="18"/>
          <w:szCs w:val="18"/>
        </w:rPr>
      </w:pPr>
    </w:p>
    <w:p w14:paraId="76E041D2" w14:textId="77777777" w:rsidR="00E06797" w:rsidRPr="005D550B" w:rsidRDefault="00A936EE">
      <w:pPr>
        <w:pBdr>
          <w:top w:val="nil"/>
          <w:left w:val="nil"/>
          <w:bottom w:val="nil"/>
          <w:right w:val="nil"/>
          <w:between w:val="nil"/>
        </w:pBdr>
        <w:rPr>
          <w:rFonts w:ascii="Cambria" w:eastAsia="Cambria" w:hAnsi="Cambria" w:cs="Cambria"/>
          <w:sz w:val="22"/>
          <w:szCs w:val="22"/>
        </w:rPr>
      </w:pPr>
      <w:r w:rsidRPr="005D550B">
        <w:rPr>
          <w:rFonts w:ascii="Cambria" w:eastAsia="Cambria" w:hAnsi="Cambria" w:cs="Cambria"/>
          <w:b/>
          <w:bCs/>
          <w:sz w:val="24"/>
          <w:szCs w:val="24"/>
        </w:rPr>
        <w:t>KEYWORDS</w:t>
      </w:r>
      <w:r w:rsidRPr="005D550B">
        <w:rPr>
          <w:rFonts w:ascii="Cambria" w:eastAsia="Cambria" w:hAnsi="Cambria" w:cs="Cambria"/>
          <w:b/>
          <w:bCs/>
          <w:sz w:val="18"/>
          <w:szCs w:val="18"/>
        </w:rPr>
        <w:t xml:space="preserve">: </w:t>
      </w:r>
      <w:r w:rsidR="008233E7" w:rsidRPr="005D550B">
        <w:rPr>
          <w:rFonts w:ascii="Cambria" w:eastAsia="Cambria" w:hAnsi="Cambria" w:cs="Cambria"/>
          <w:sz w:val="22"/>
          <w:szCs w:val="22"/>
        </w:rPr>
        <w:t>energy transition justice; geothermal development; green colonialism; indigenous socio-environmental conflict; political ecology</w:t>
      </w:r>
      <w:r w:rsidR="002667C1" w:rsidRPr="005D550B">
        <w:rPr>
          <w:rFonts w:ascii="Cambria" w:eastAsia="Cambria" w:hAnsi="Cambria" w:cs="Cambria"/>
          <w:sz w:val="22"/>
          <w:szCs w:val="22"/>
        </w:rPr>
        <w:t>; spatial rights.</w:t>
      </w:r>
    </w:p>
    <w:p w14:paraId="3CE45DFE" w14:textId="361467BE" w:rsidR="002667C1" w:rsidRPr="005D550B" w:rsidRDefault="002667C1">
      <w:pPr>
        <w:pBdr>
          <w:top w:val="nil"/>
          <w:left w:val="nil"/>
          <w:bottom w:val="nil"/>
          <w:right w:val="nil"/>
          <w:between w:val="nil"/>
        </w:pBdr>
        <w:rPr>
          <w:rFonts w:ascii="Cambria" w:eastAsia="Cambria" w:hAnsi="Cambria" w:cs="Cambria"/>
          <w:b/>
          <w:bCs/>
          <w:sz w:val="18"/>
          <w:szCs w:val="18"/>
        </w:rPr>
        <w:sectPr w:rsidR="002667C1" w:rsidRPr="005D550B" w:rsidSect="002074E1">
          <w:headerReference w:type="even" r:id="rId9"/>
          <w:headerReference w:type="default" r:id="rId10"/>
          <w:footerReference w:type="default" r:id="rId11"/>
          <w:headerReference w:type="first" r:id="rId12"/>
          <w:footerReference w:type="first" r:id="rId13"/>
          <w:pgSz w:w="11906" w:h="16838"/>
          <w:pgMar w:top="1134" w:right="1701" w:bottom="1418" w:left="1701" w:header="737" w:footer="397" w:gutter="0"/>
          <w:pgNumType w:start="74"/>
          <w:cols w:space="720"/>
          <w:titlePg/>
        </w:sectPr>
      </w:pPr>
    </w:p>
    <w:p w14:paraId="5187EAC4" w14:textId="77777777" w:rsidR="002667C1" w:rsidRPr="005D550B" w:rsidRDefault="002667C1" w:rsidP="002667C1">
      <w:pPr>
        <w:pBdr>
          <w:top w:val="nil"/>
          <w:left w:val="nil"/>
          <w:bottom w:val="single" w:sz="12" w:space="1" w:color="000000"/>
          <w:right w:val="nil"/>
          <w:between w:val="nil"/>
        </w:pBdr>
        <w:rPr>
          <w:rFonts w:ascii="Cambria" w:eastAsia="Cambria" w:hAnsi="Cambria" w:cs="Cambria"/>
          <w:b/>
          <w:bCs/>
          <w:sz w:val="22"/>
          <w:szCs w:val="22"/>
        </w:rPr>
      </w:pPr>
    </w:p>
    <w:p w14:paraId="66463B91" w14:textId="77777777" w:rsidR="002667C1" w:rsidRPr="005D550B" w:rsidRDefault="002667C1" w:rsidP="002667C1">
      <w:pPr>
        <w:pBdr>
          <w:left w:val="nil"/>
          <w:bottom w:val="nil"/>
          <w:right w:val="nil"/>
          <w:between w:val="nil"/>
        </w:pBdr>
        <w:rPr>
          <w:rFonts w:ascii="Cambria" w:eastAsia="Cambria" w:hAnsi="Cambria" w:cs="Cambria"/>
          <w:sz w:val="22"/>
          <w:szCs w:val="22"/>
        </w:rPr>
      </w:pPr>
    </w:p>
    <w:p w14:paraId="581C7BDE" w14:textId="77777777" w:rsidR="00E06797" w:rsidRPr="005D550B" w:rsidRDefault="00A936EE">
      <w:pPr>
        <w:pBdr>
          <w:top w:val="nil"/>
          <w:left w:val="nil"/>
          <w:bottom w:val="nil"/>
          <w:right w:val="nil"/>
          <w:between w:val="nil"/>
        </w:pBdr>
        <w:rPr>
          <w:rFonts w:ascii="Cambria" w:eastAsia="Cambria" w:hAnsi="Cambria" w:cs="Cambria"/>
          <w:b/>
          <w:bCs/>
          <w:sz w:val="24"/>
          <w:szCs w:val="24"/>
        </w:rPr>
      </w:pPr>
      <w:r w:rsidRPr="005D550B">
        <w:rPr>
          <w:rFonts w:ascii="Cambria" w:eastAsia="Cambria" w:hAnsi="Cambria" w:cs="Cambria"/>
          <w:b/>
          <w:bCs/>
          <w:sz w:val="24"/>
          <w:szCs w:val="24"/>
        </w:rPr>
        <w:t xml:space="preserve">1. Introduction </w:t>
      </w:r>
    </w:p>
    <w:p w14:paraId="57C8D79A" w14:textId="77777777" w:rsidR="00E06797" w:rsidRPr="005D550B" w:rsidRDefault="00E06797">
      <w:pPr>
        <w:pBdr>
          <w:top w:val="nil"/>
          <w:left w:val="nil"/>
          <w:bottom w:val="nil"/>
          <w:right w:val="nil"/>
          <w:between w:val="nil"/>
        </w:pBdr>
        <w:rPr>
          <w:rFonts w:ascii="Cambria" w:eastAsia="Cambria" w:hAnsi="Cambria" w:cs="Cambria"/>
          <w:b/>
          <w:bCs/>
          <w:sz w:val="22"/>
          <w:szCs w:val="22"/>
        </w:rPr>
      </w:pPr>
    </w:p>
    <w:p w14:paraId="5644CA3B" w14:textId="19C7BBBB" w:rsidR="001A6427" w:rsidRPr="005D550B" w:rsidRDefault="004E4B5E">
      <w:pPr>
        <w:ind w:firstLine="426"/>
        <w:rPr>
          <w:rFonts w:ascii="Cambria" w:eastAsia="Cambria" w:hAnsi="Cambria" w:cs="Cambria"/>
          <w:sz w:val="22"/>
          <w:szCs w:val="22"/>
        </w:rPr>
      </w:pPr>
      <w:r w:rsidRPr="005D550B">
        <w:rPr>
          <w:rFonts w:ascii="Cambria" w:eastAsia="Cambria" w:hAnsi="Cambria" w:cs="Cambria"/>
          <w:sz w:val="22"/>
          <w:szCs w:val="22"/>
        </w:rPr>
        <w:t xml:space="preserve">Energy transition is one of the current hot topics on all sorts of levels. International and regional forums, countries are racing toward transition toward renewable energy goals. Unfortunately, the spirit of energy transition, </w:t>
      </w:r>
      <w:r w:rsidR="00DF5F43" w:rsidRPr="005D550B">
        <w:rPr>
          <w:rFonts w:ascii="Cambria" w:eastAsia="Cambria" w:hAnsi="Cambria" w:cs="Cambria"/>
          <w:sz w:val="22"/>
          <w:szCs w:val="22"/>
        </w:rPr>
        <w:t>often</w:t>
      </w:r>
      <w:r w:rsidRPr="005D550B">
        <w:rPr>
          <w:rFonts w:ascii="Cambria" w:eastAsia="Cambria" w:hAnsi="Cambria" w:cs="Cambria"/>
          <w:sz w:val="22"/>
          <w:szCs w:val="22"/>
        </w:rPr>
        <w:t xml:space="preserve">, is viewed as a mere technological conversion; from fossil-based machines to an environmentally friendly source. In the period of 2000 – 2020, </w:t>
      </w:r>
      <w:proofErr w:type="spellStart"/>
      <w:r w:rsidRPr="005D550B">
        <w:rPr>
          <w:rFonts w:ascii="Cambria" w:eastAsia="Cambria" w:hAnsi="Cambria" w:cs="Cambria"/>
          <w:sz w:val="22"/>
          <w:szCs w:val="22"/>
        </w:rPr>
        <w:t>Sovacool</w:t>
      </w:r>
      <w:proofErr w:type="spellEnd"/>
      <w:r w:rsidR="002667C1" w:rsidRPr="005D550B">
        <w:rPr>
          <w:rFonts w:ascii="Cambria" w:eastAsia="Cambria" w:hAnsi="Cambria" w:cs="Cambria"/>
          <w:sz w:val="22"/>
          <w:szCs w:val="22"/>
        </w:rPr>
        <w:t xml:space="preserve"> (</w:t>
      </w:r>
      <w:r w:rsidRPr="005D550B">
        <w:rPr>
          <w:rFonts w:ascii="Cambria" w:eastAsia="Cambria" w:hAnsi="Cambria" w:cs="Cambria"/>
          <w:sz w:val="22"/>
          <w:szCs w:val="22"/>
        </w:rPr>
        <w:t xml:space="preserve">2021) reported that there are 4 persisting problematic methods on planning and implementation of energy transition; enclosure (capture of resources), </w:t>
      </w:r>
      <w:r w:rsidRPr="005D550B">
        <w:rPr>
          <w:rFonts w:ascii="Cambria" w:eastAsia="Cambria" w:hAnsi="Cambria" w:cs="Cambria"/>
          <w:sz w:val="22"/>
          <w:szCs w:val="22"/>
        </w:rPr>
        <w:lastRenderedPageBreak/>
        <w:t>exclusion (unfair planning), encroachment (destruction of the environment), or entrenchment (worsening of inequality or vulnerability).</w:t>
      </w:r>
    </w:p>
    <w:p w14:paraId="668E28A6" w14:textId="79F1FC73" w:rsidR="001A6427" w:rsidRPr="005D550B" w:rsidRDefault="001A6427">
      <w:pPr>
        <w:ind w:firstLine="426"/>
        <w:rPr>
          <w:rFonts w:ascii="Cambria" w:eastAsia="Cambria" w:hAnsi="Cambria" w:cs="Cambria"/>
          <w:sz w:val="22"/>
          <w:szCs w:val="22"/>
        </w:rPr>
      </w:pPr>
      <w:r w:rsidRPr="005D550B">
        <w:rPr>
          <w:rFonts w:ascii="Cambria" w:eastAsia="Cambria" w:hAnsi="Cambria" w:cs="Cambria"/>
          <w:sz w:val="22"/>
          <w:szCs w:val="22"/>
        </w:rPr>
        <w:t xml:space="preserve">The global pattern is also replicated by Indonesia. Reports mentioned that Indonesian government includes little to no equity resolving outcome process, while maintaining focus on how far the country could decarbonize (Elliott &amp; </w:t>
      </w:r>
      <w:proofErr w:type="spellStart"/>
      <w:r w:rsidRPr="005D550B">
        <w:rPr>
          <w:rFonts w:ascii="Cambria" w:eastAsia="Cambria" w:hAnsi="Cambria" w:cs="Cambria"/>
          <w:sz w:val="22"/>
          <w:szCs w:val="22"/>
        </w:rPr>
        <w:t>Setyowati</w:t>
      </w:r>
      <w:proofErr w:type="spellEnd"/>
      <w:r w:rsidRPr="005D550B">
        <w:rPr>
          <w:rFonts w:ascii="Cambria" w:eastAsia="Cambria" w:hAnsi="Cambria" w:cs="Cambria"/>
          <w:sz w:val="22"/>
          <w:szCs w:val="22"/>
        </w:rPr>
        <w:t xml:space="preserve">, 2020). This numerical approach is strengthened by demographic pressure. According to (Badan Pusat </w:t>
      </w:r>
      <w:proofErr w:type="spellStart"/>
      <w:r w:rsidRPr="005D550B">
        <w:rPr>
          <w:rFonts w:ascii="Cambria" w:eastAsia="Cambria" w:hAnsi="Cambria" w:cs="Cambria"/>
          <w:sz w:val="22"/>
          <w:szCs w:val="22"/>
        </w:rPr>
        <w:t>Statistik</w:t>
      </w:r>
      <w:proofErr w:type="spellEnd"/>
      <w:r w:rsidRPr="005D550B">
        <w:rPr>
          <w:rFonts w:ascii="Cambria" w:eastAsia="Cambria" w:hAnsi="Cambria" w:cs="Cambria"/>
          <w:sz w:val="22"/>
          <w:szCs w:val="22"/>
        </w:rPr>
        <w:t>, 2025), Indonesian population has reached 284</w:t>
      </w:r>
      <w:r w:rsidR="0077154E">
        <w:rPr>
          <w:rFonts w:ascii="Cambria" w:eastAsia="Cambria" w:hAnsi="Cambria" w:cs="Cambria"/>
          <w:sz w:val="22"/>
          <w:szCs w:val="22"/>
        </w:rPr>
        <w:t>,</w:t>
      </w:r>
      <w:r w:rsidRPr="005D550B">
        <w:rPr>
          <w:rFonts w:ascii="Cambria" w:eastAsia="Cambria" w:hAnsi="Cambria" w:cs="Cambria"/>
          <w:sz w:val="22"/>
          <w:szCs w:val="22"/>
        </w:rPr>
        <w:t>438</w:t>
      </w:r>
      <w:r w:rsidR="0077154E">
        <w:rPr>
          <w:rFonts w:ascii="Cambria" w:eastAsia="Cambria" w:hAnsi="Cambria" w:cs="Cambria"/>
          <w:sz w:val="22"/>
          <w:szCs w:val="22"/>
        </w:rPr>
        <w:t>,</w:t>
      </w:r>
      <w:r w:rsidRPr="005D550B">
        <w:rPr>
          <w:rFonts w:ascii="Cambria" w:eastAsia="Cambria" w:hAnsi="Cambria" w:cs="Cambria"/>
          <w:sz w:val="22"/>
          <w:szCs w:val="22"/>
        </w:rPr>
        <w:t>800. Population growth correlates linearly with escalating demands for basic needs, particularly electricity. It is reflected by the reports of IEA, there is almost tri-fold electricity demand (278%) within the periods of 2000-2023.</w:t>
      </w:r>
    </w:p>
    <w:p w14:paraId="690C2E86" w14:textId="75E4DD53" w:rsidR="00EF2480" w:rsidRPr="005D550B" w:rsidRDefault="00EF2480">
      <w:pPr>
        <w:ind w:firstLine="426"/>
        <w:rPr>
          <w:rFonts w:ascii="Cambria" w:eastAsia="Cambria" w:hAnsi="Cambria" w:cs="Cambria"/>
          <w:sz w:val="22"/>
          <w:szCs w:val="22"/>
        </w:rPr>
      </w:pPr>
      <w:r w:rsidRPr="005D550B">
        <w:rPr>
          <w:rFonts w:ascii="Cambria" w:eastAsia="Cambria" w:hAnsi="Cambria" w:cs="Cambria"/>
          <w:sz w:val="22"/>
          <w:szCs w:val="22"/>
        </w:rPr>
        <w:t xml:space="preserve">Despite this growing demand, the national energy mix remains heavily dependent on non-renewable resources, with coal being the largest contributor (PT PLN (Persero), 2025). To fulfil the Net Zero Emissions (NZE) commitment, the Indonesian government is accelerating the development and implementation of New and Renewable Energy (EBT), with geothermal as one of national top priority. Indonesia, located on the Pacific Ring of Fire, possesses huge potential on geothermal; it’s holding 40% of the world’s total geothermal reserve. Currently, Indonesia utilized only 9% of its potential, making it the second-largest geothermal energy producer, only behind the United States (Langer et al., 2021; </w:t>
      </w:r>
      <w:proofErr w:type="spellStart"/>
      <w:r w:rsidRPr="005D550B">
        <w:rPr>
          <w:rFonts w:ascii="Cambria" w:eastAsia="Cambria" w:hAnsi="Cambria" w:cs="Cambria"/>
          <w:sz w:val="22"/>
          <w:szCs w:val="22"/>
        </w:rPr>
        <w:t>Trisiah</w:t>
      </w:r>
      <w:proofErr w:type="spellEnd"/>
      <w:r w:rsidRPr="005D550B">
        <w:rPr>
          <w:rFonts w:ascii="Cambria" w:eastAsia="Cambria" w:hAnsi="Cambria" w:cs="Cambria"/>
          <w:sz w:val="22"/>
          <w:szCs w:val="22"/>
        </w:rPr>
        <w:t xml:space="preserve"> et al., 2022)</w:t>
      </w:r>
      <w:r w:rsidR="007671C4" w:rsidRPr="005D550B">
        <w:rPr>
          <w:rFonts w:ascii="Cambria" w:eastAsia="Cambria" w:hAnsi="Cambria" w:cs="Cambria"/>
          <w:sz w:val="22"/>
          <w:szCs w:val="22"/>
        </w:rPr>
        <w:t>.</w:t>
      </w:r>
    </w:p>
    <w:p w14:paraId="6739E10E" w14:textId="1D554AAB" w:rsidR="001A6427" w:rsidRPr="005D550B" w:rsidRDefault="007671C4">
      <w:pPr>
        <w:ind w:firstLine="426"/>
        <w:rPr>
          <w:rFonts w:ascii="Cambria" w:eastAsia="Cambria" w:hAnsi="Cambria" w:cs="Cambria"/>
          <w:sz w:val="22"/>
          <w:szCs w:val="22"/>
        </w:rPr>
      </w:pPr>
      <w:r w:rsidRPr="005D550B">
        <w:rPr>
          <w:rFonts w:ascii="Cambria" w:eastAsia="Cambria" w:hAnsi="Cambria" w:cs="Cambria"/>
          <w:sz w:val="22"/>
          <w:szCs w:val="22"/>
        </w:rPr>
        <w:t>This national ambition is formalized through</w:t>
      </w:r>
      <w:r w:rsidR="0077154E">
        <w:rPr>
          <w:rFonts w:ascii="Cambria" w:eastAsia="Cambria" w:hAnsi="Cambria" w:cs="Cambria"/>
          <w:sz w:val="22"/>
          <w:szCs w:val="22"/>
        </w:rPr>
        <w:t xml:space="preserve"> </w:t>
      </w:r>
      <w:r w:rsidR="0077154E" w:rsidRPr="0077154E">
        <w:rPr>
          <w:rFonts w:ascii="Cambria" w:eastAsia="Cambria" w:hAnsi="Cambria" w:cs="Cambria"/>
          <w:sz w:val="22"/>
          <w:szCs w:val="22"/>
        </w:rPr>
        <w:t>Decision of the Minister of Energy and Mineral Resources</w:t>
      </w:r>
      <w:r w:rsidR="0077154E">
        <w:rPr>
          <w:rFonts w:ascii="Cambria" w:eastAsia="Cambria" w:hAnsi="Cambria" w:cs="Cambria"/>
          <w:sz w:val="22"/>
          <w:szCs w:val="22"/>
        </w:rPr>
        <w:t>/</w:t>
      </w:r>
      <w:r w:rsidRPr="0077154E">
        <w:rPr>
          <w:rFonts w:ascii="Cambria" w:eastAsia="Cambria" w:hAnsi="Cambria" w:cs="Cambria"/>
          <w:i/>
          <w:iCs/>
          <w:sz w:val="22"/>
          <w:szCs w:val="22"/>
        </w:rPr>
        <w:t xml:space="preserve">Keputusan Menteri </w:t>
      </w:r>
      <w:proofErr w:type="spellStart"/>
      <w:r w:rsidRPr="0077154E">
        <w:rPr>
          <w:rFonts w:ascii="Cambria" w:eastAsia="Cambria" w:hAnsi="Cambria" w:cs="Cambria"/>
          <w:i/>
          <w:iCs/>
          <w:sz w:val="22"/>
          <w:szCs w:val="22"/>
        </w:rPr>
        <w:t>Energi</w:t>
      </w:r>
      <w:proofErr w:type="spellEnd"/>
      <w:r w:rsidRPr="0077154E">
        <w:rPr>
          <w:rFonts w:ascii="Cambria" w:eastAsia="Cambria" w:hAnsi="Cambria" w:cs="Cambria"/>
          <w:i/>
          <w:iCs/>
          <w:sz w:val="22"/>
          <w:szCs w:val="22"/>
        </w:rPr>
        <w:t xml:space="preserve"> dan </w:t>
      </w:r>
      <w:proofErr w:type="spellStart"/>
      <w:r w:rsidRPr="0077154E">
        <w:rPr>
          <w:rFonts w:ascii="Cambria" w:eastAsia="Cambria" w:hAnsi="Cambria" w:cs="Cambria"/>
          <w:i/>
          <w:iCs/>
          <w:sz w:val="22"/>
          <w:szCs w:val="22"/>
        </w:rPr>
        <w:t>Sumberdaya</w:t>
      </w:r>
      <w:proofErr w:type="spellEnd"/>
      <w:r w:rsidRPr="0077154E">
        <w:rPr>
          <w:rFonts w:ascii="Cambria" w:eastAsia="Cambria" w:hAnsi="Cambria" w:cs="Cambria"/>
          <w:i/>
          <w:iCs/>
          <w:sz w:val="22"/>
          <w:szCs w:val="22"/>
        </w:rPr>
        <w:t xml:space="preserve"> Mineral</w:t>
      </w:r>
      <w:r w:rsidRPr="005D550B">
        <w:rPr>
          <w:rFonts w:ascii="Cambria" w:eastAsia="Cambria" w:hAnsi="Cambria" w:cs="Cambria"/>
          <w:sz w:val="22"/>
          <w:szCs w:val="22"/>
        </w:rPr>
        <w:t xml:space="preserve"> (ESDM) no. 2268 K/30/MEM/2017, designating Flores Island as </w:t>
      </w:r>
      <w:r w:rsidRPr="00CA410E">
        <w:rPr>
          <w:rFonts w:ascii="Cambria" w:eastAsia="Cambria" w:hAnsi="Cambria" w:cs="Cambria"/>
          <w:i/>
          <w:iCs/>
          <w:sz w:val="22"/>
          <w:szCs w:val="22"/>
        </w:rPr>
        <w:t>Pulau Panas Bumi</w:t>
      </w:r>
      <w:r w:rsidRPr="005D550B">
        <w:rPr>
          <w:rFonts w:ascii="Cambria" w:eastAsia="Cambria" w:hAnsi="Cambria" w:cs="Cambria"/>
          <w:sz w:val="22"/>
          <w:szCs w:val="22"/>
        </w:rPr>
        <w:t>. Based on the decree, the goals of developing geothermal energy in Flores are; equitable development to achieve energy security, alleviate poverty, harnessing geothermal resources, and supporting other sectors such as agriculture, fisheries, mining, and tourism through renewable geothermal. As per 2024, ESDM reported 24 MW installed capacity in Nusa Tenggara Timur Province. However, the development of power plant on other areas showed many challenges; it might create socio-economic conflict related to water and semi-arid climate (</w:t>
      </w:r>
      <w:proofErr w:type="spellStart"/>
      <w:r w:rsidRPr="005D550B">
        <w:rPr>
          <w:rFonts w:ascii="Cambria" w:eastAsia="Cambria" w:hAnsi="Cambria" w:cs="Cambria"/>
          <w:sz w:val="22"/>
          <w:szCs w:val="22"/>
        </w:rPr>
        <w:t>Mariita</w:t>
      </w:r>
      <w:proofErr w:type="spellEnd"/>
      <w:r w:rsidRPr="005D550B">
        <w:rPr>
          <w:rFonts w:ascii="Cambria" w:eastAsia="Cambria" w:hAnsi="Cambria" w:cs="Cambria"/>
          <w:sz w:val="22"/>
          <w:szCs w:val="22"/>
        </w:rPr>
        <w:t xml:space="preserve">, 2002), by creating competition between water-thirsty geothermal plant and agriculture needs, or too costly to execute and/or maintained on rural areas (Elliott &amp; </w:t>
      </w:r>
      <w:proofErr w:type="spellStart"/>
      <w:r w:rsidRPr="005D550B">
        <w:rPr>
          <w:rFonts w:ascii="Cambria" w:eastAsia="Cambria" w:hAnsi="Cambria" w:cs="Cambria"/>
          <w:sz w:val="22"/>
          <w:szCs w:val="22"/>
        </w:rPr>
        <w:t>Setyowati</w:t>
      </w:r>
      <w:proofErr w:type="spellEnd"/>
      <w:r w:rsidRPr="005D550B">
        <w:rPr>
          <w:rFonts w:ascii="Cambria" w:eastAsia="Cambria" w:hAnsi="Cambria" w:cs="Cambria"/>
          <w:sz w:val="22"/>
          <w:szCs w:val="22"/>
        </w:rPr>
        <w:t xml:space="preserve">, 2020), which already demonstrated by </w:t>
      </w:r>
      <w:r w:rsidR="0077154E" w:rsidRPr="0077154E">
        <w:rPr>
          <w:rFonts w:ascii="Cambria" w:eastAsia="Cambria" w:hAnsi="Cambria" w:cs="Cambria"/>
          <w:sz w:val="22"/>
          <w:szCs w:val="22"/>
        </w:rPr>
        <w:t>Geothermal Power Plant</w:t>
      </w:r>
      <w:r w:rsidRPr="005D550B">
        <w:rPr>
          <w:rFonts w:ascii="Cambria" w:eastAsia="Cambria" w:hAnsi="Cambria" w:cs="Cambria"/>
          <w:sz w:val="22"/>
          <w:szCs w:val="22"/>
        </w:rPr>
        <w:t>.</w:t>
      </w:r>
    </w:p>
    <w:p w14:paraId="23C755E9" w14:textId="7AC75B31" w:rsidR="007671C4" w:rsidRPr="0077154E" w:rsidRDefault="007671C4" w:rsidP="0077154E">
      <w:pPr>
        <w:ind w:firstLine="426"/>
        <w:rPr>
          <w:rFonts w:ascii="Cambria" w:eastAsia="Cambria" w:hAnsi="Cambria" w:cs="Cambria"/>
          <w:sz w:val="22"/>
          <w:szCs w:val="22"/>
          <w:lang w:val="en-ID"/>
        </w:rPr>
      </w:pPr>
      <w:r w:rsidRPr="005D550B">
        <w:rPr>
          <w:rFonts w:ascii="Cambria" w:eastAsia="Cambria" w:hAnsi="Cambria" w:cs="Cambria"/>
          <w:sz w:val="22"/>
          <w:szCs w:val="22"/>
        </w:rPr>
        <w:t xml:space="preserve">The state’s ideal goal and commitment to international forums clash with reality, which reiterates how the transition toward clean energy can miscarry into an unjust process. A report by CELIOS and </w:t>
      </w:r>
      <w:proofErr w:type="spellStart"/>
      <w:r w:rsidRPr="005D550B">
        <w:rPr>
          <w:rFonts w:ascii="Cambria" w:eastAsia="Cambria" w:hAnsi="Cambria" w:cs="Cambria"/>
          <w:sz w:val="22"/>
          <w:szCs w:val="22"/>
        </w:rPr>
        <w:t>Walhi</w:t>
      </w:r>
      <w:proofErr w:type="spellEnd"/>
      <w:r w:rsidRPr="005D550B">
        <w:rPr>
          <w:rFonts w:ascii="Cambria" w:eastAsia="Cambria" w:hAnsi="Cambria" w:cs="Cambria"/>
          <w:sz w:val="22"/>
          <w:szCs w:val="22"/>
        </w:rPr>
        <w:t xml:space="preserve"> </w:t>
      </w:r>
      <w:r w:rsidR="005D550B" w:rsidRPr="005D550B">
        <w:rPr>
          <w:rFonts w:ascii="Cambria" w:eastAsia="Cambria" w:hAnsi="Cambria" w:cs="Cambria"/>
          <w:sz w:val="22"/>
          <w:szCs w:val="22"/>
        </w:rPr>
        <w:t xml:space="preserve">in </w:t>
      </w:r>
      <w:r w:rsidRPr="005D550B">
        <w:rPr>
          <w:rFonts w:ascii="Cambria" w:eastAsia="Cambria" w:hAnsi="Cambria" w:cs="Cambria"/>
          <w:sz w:val="22"/>
          <w:szCs w:val="22"/>
        </w:rPr>
        <w:t>2024</w:t>
      </w:r>
      <w:r w:rsidR="005D550B" w:rsidRPr="005D550B">
        <w:rPr>
          <w:rFonts w:ascii="Cambria" w:eastAsia="Cambria" w:hAnsi="Cambria" w:cs="Cambria"/>
          <w:sz w:val="22"/>
          <w:szCs w:val="22"/>
        </w:rPr>
        <w:t xml:space="preserve"> </w:t>
      </w:r>
      <w:r w:rsidRPr="005D550B">
        <w:rPr>
          <w:rFonts w:ascii="Cambria" w:eastAsia="Cambria" w:hAnsi="Cambria" w:cs="Cambria"/>
          <w:sz w:val="22"/>
          <w:szCs w:val="22"/>
        </w:rPr>
        <w:t xml:space="preserve">uncovers the destructive fallout of </w:t>
      </w:r>
      <w:r w:rsidR="0077154E">
        <w:rPr>
          <w:rFonts w:ascii="Cambria" w:eastAsia="Cambria" w:hAnsi="Cambria" w:cs="Cambria"/>
          <w:sz w:val="22"/>
          <w:szCs w:val="22"/>
        </w:rPr>
        <w:t>Geothermal Power Plant/</w:t>
      </w:r>
      <w:r w:rsidR="0077154E" w:rsidRPr="0077154E">
        <w:rPr>
          <w:rFonts w:ascii="Cambria" w:eastAsia="Cambria" w:hAnsi="Cambria" w:cs="Cambria"/>
          <w:i/>
          <w:iCs/>
          <w:sz w:val="22"/>
          <w:szCs w:val="22"/>
          <w:lang w:val="id-ID"/>
        </w:rPr>
        <w:t>Pembangkit Listrik Tenaga Panas Bumi</w:t>
      </w:r>
      <w:r w:rsidR="0077154E">
        <w:rPr>
          <w:rFonts w:ascii="Cambria" w:eastAsia="Cambria" w:hAnsi="Cambria" w:cs="Cambria"/>
          <w:sz w:val="22"/>
          <w:szCs w:val="22"/>
          <w:lang w:val="en-ID"/>
        </w:rPr>
        <w:t xml:space="preserve"> (</w:t>
      </w:r>
      <w:r w:rsidRPr="005D550B">
        <w:rPr>
          <w:rFonts w:ascii="Cambria" w:eastAsia="Cambria" w:hAnsi="Cambria" w:cs="Cambria"/>
          <w:sz w:val="22"/>
          <w:szCs w:val="22"/>
        </w:rPr>
        <w:t>PLTP</w:t>
      </w:r>
      <w:r w:rsidR="0077154E">
        <w:rPr>
          <w:rFonts w:ascii="Cambria" w:eastAsia="Cambria" w:hAnsi="Cambria" w:cs="Cambria"/>
          <w:sz w:val="22"/>
          <w:szCs w:val="22"/>
        </w:rPr>
        <w:t>)</w:t>
      </w:r>
      <w:r w:rsidRPr="005D550B">
        <w:rPr>
          <w:rFonts w:ascii="Cambria" w:eastAsia="Cambria" w:hAnsi="Cambria" w:cs="Cambria"/>
          <w:sz w:val="22"/>
          <w:szCs w:val="22"/>
        </w:rPr>
        <w:t xml:space="preserve"> expansion in Flores, detailing the decline in agricultural productivity due to water and environmental degradation, plummeting incomes from plantation commodities, and the escalation of local economic inequality. This condition underscores the severe risk of green grabbing, forced expulsion of communal living spaces under the guise of conservation and green energy development. Local communities rationally perceive geothermal expansion as an existential threat to their agricultural lands, customary forests, and vital water springs (</w:t>
      </w:r>
      <w:proofErr w:type="spellStart"/>
      <w:r w:rsidRPr="005D550B">
        <w:rPr>
          <w:rFonts w:ascii="Cambria" w:eastAsia="Cambria" w:hAnsi="Cambria" w:cs="Cambria"/>
          <w:sz w:val="22"/>
          <w:szCs w:val="22"/>
        </w:rPr>
        <w:t>Sihidi</w:t>
      </w:r>
      <w:proofErr w:type="spellEnd"/>
      <w:r w:rsidRPr="005D550B">
        <w:rPr>
          <w:rFonts w:ascii="Cambria" w:eastAsia="Cambria" w:hAnsi="Cambria" w:cs="Cambria"/>
          <w:sz w:val="22"/>
          <w:szCs w:val="22"/>
        </w:rPr>
        <w:t xml:space="preserve"> et al., 2025). Unfortunately, the labelling of PLTPs as National Strategic Projects</w:t>
      </w:r>
      <w:r w:rsidR="002765E7">
        <w:rPr>
          <w:rFonts w:ascii="Cambria" w:eastAsia="Cambria" w:hAnsi="Cambria" w:cs="Cambria"/>
          <w:sz w:val="22"/>
          <w:szCs w:val="22"/>
        </w:rPr>
        <w:t>/</w:t>
      </w:r>
      <w:proofErr w:type="spellStart"/>
      <w:r w:rsidR="002765E7" w:rsidRPr="002765E7">
        <w:rPr>
          <w:rFonts w:ascii="Cambria" w:eastAsia="Cambria" w:hAnsi="Cambria" w:cs="Cambria"/>
          <w:i/>
          <w:iCs/>
          <w:sz w:val="22"/>
          <w:szCs w:val="22"/>
        </w:rPr>
        <w:t>Proyek</w:t>
      </w:r>
      <w:proofErr w:type="spellEnd"/>
      <w:r w:rsidR="002765E7" w:rsidRPr="002765E7">
        <w:rPr>
          <w:rFonts w:ascii="Cambria" w:eastAsia="Cambria" w:hAnsi="Cambria" w:cs="Cambria"/>
          <w:i/>
          <w:iCs/>
          <w:sz w:val="22"/>
          <w:szCs w:val="22"/>
        </w:rPr>
        <w:t xml:space="preserve"> </w:t>
      </w:r>
      <w:proofErr w:type="spellStart"/>
      <w:r w:rsidR="002765E7" w:rsidRPr="002765E7">
        <w:rPr>
          <w:rFonts w:ascii="Cambria" w:eastAsia="Cambria" w:hAnsi="Cambria" w:cs="Cambria"/>
          <w:i/>
          <w:iCs/>
          <w:sz w:val="22"/>
          <w:szCs w:val="22"/>
        </w:rPr>
        <w:t>Strategis</w:t>
      </w:r>
      <w:proofErr w:type="spellEnd"/>
      <w:r w:rsidR="002765E7" w:rsidRPr="002765E7">
        <w:rPr>
          <w:rFonts w:ascii="Cambria" w:eastAsia="Cambria" w:hAnsi="Cambria" w:cs="Cambria"/>
          <w:i/>
          <w:iCs/>
          <w:sz w:val="22"/>
          <w:szCs w:val="22"/>
        </w:rPr>
        <w:t xml:space="preserve"> Nasional</w:t>
      </w:r>
      <w:r w:rsidR="002765E7">
        <w:rPr>
          <w:rFonts w:ascii="Cambria" w:eastAsia="Cambria" w:hAnsi="Cambria" w:cs="Cambria"/>
          <w:sz w:val="22"/>
          <w:szCs w:val="22"/>
        </w:rPr>
        <w:t xml:space="preserve"> (PSN)</w:t>
      </w:r>
      <w:r w:rsidRPr="005D550B">
        <w:rPr>
          <w:rFonts w:ascii="Cambria" w:eastAsia="Cambria" w:hAnsi="Cambria" w:cs="Cambria"/>
          <w:sz w:val="22"/>
          <w:szCs w:val="22"/>
        </w:rPr>
        <w:t xml:space="preserve"> is frequently utilized as a hegemonic tool to override customary rights and local livelihoods (Arifah et al., 2024). The absence of a substantive Free, Prior, and Informed Consent (FPIC) principle severely marginalizes the community's bargaining power. Public consultation processes are often reduced to mere administrative formalities, where consent is manufactured, and the loss of local communities right to their </w:t>
      </w:r>
      <w:r w:rsidR="00660A56" w:rsidRPr="00660A56">
        <w:rPr>
          <w:rFonts w:ascii="Cambria" w:eastAsia="Cambria" w:hAnsi="Cambria" w:cs="Cambria"/>
          <w:sz w:val="22"/>
          <w:szCs w:val="22"/>
        </w:rPr>
        <w:t xml:space="preserve">customary land </w:t>
      </w:r>
      <w:r w:rsidRPr="005D550B">
        <w:rPr>
          <w:rFonts w:ascii="Cambria" w:eastAsia="Cambria" w:hAnsi="Cambria" w:cs="Cambria"/>
          <w:sz w:val="22"/>
          <w:szCs w:val="22"/>
        </w:rPr>
        <w:t>is only a cost toward development.</w:t>
      </w:r>
    </w:p>
    <w:p w14:paraId="04910520" w14:textId="26B8BC0F" w:rsidR="007671C4" w:rsidRPr="005D550B" w:rsidRDefault="007671C4">
      <w:pPr>
        <w:ind w:firstLine="426"/>
        <w:rPr>
          <w:rFonts w:ascii="Cambria" w:eastAsia="Cambria" w:hAnsi="Cambria" w:cs="Cambria"/>
          <w:sz w:val="22"/>
          <w:szCs w:val="22"/>
        </w:rPr>
      </w:pPr>
      <w:r w:rsidRPr="005D550B">
        <w:rPr>
          <w:rFonts w:ascii="Cambria" w:eastAsia="Cambria" w:hAnsi="Cambria" w:cs="Cambria"/>
          <w:sz w:val="22"/>
          <w:szCs w:val="22"/>
        </w:rPr>
        <w:t xml:space="preserve">To dissect the complexity of a should-have-been equity-oriented development yet leads to conflict between the state and local communities, a Political Ecology lens is needed. The technocratic and apolitical approach to ecology, focusing on renewable energy quotas and international commitment, has proven to neglect the concern and the livelihood of local communities (Elliott &amp; </w:t>
      </w:r>
      <w:proofErr w:type="spellStart"/>
      <w:r w:rsidRPr="005D550B">
        <w:rPr>
          <w:rFonts w:ascii="Cambria" w:eastAsia="Cambria" w:hAnsi="Cambria" w:cs="Cambria"/>
          <w:sz w:val="22"/>
          <w:szCs w:val="22"/>
        </w:rPr>
        <w:t>Setyowati</w:t>
      </w:r>
      <w:proofErr w:type="spellEnd"/>
      <w:r w:rsidRPr="005D550B">
        <w:rPr>
          <w:rFonts w:ascii="Cambria" w:eastAsia="Cambria" w:hAnsi="Cambria" w:cs="Cambria"/>
          <w:sz w:val="22"/>
          <w:szCs w:val="22"/>
        </w:rPr>
        <w:t xml:space="preserve">, 2020; </w:t>
      </w:r>
      <w:proofErr w:type="spellStart"/>
      <w:r w:rsidRPr="005D550B">
        <w:rPr>
          <w:rFonts w:ascii="Cambria" w:eastAsia="Cambria" w:hAnsi="Cambria" w:cs="Cambria"/>
          <w:sz w:val="22"/>
          <w:szCs w:val="22"/>
        </w:rPr>
        <w:t>Hamouchene</w:t>
      </w:r>
      <w:proofErr w:type="spellEnd"/>
      <w:r w:rsidRPr="005D550B">
        <w:rPr>
          <w:rFonts w:ascii="Cambria" w:eastAsia="Cambria" w:hAnsi="Cambria" w:cs="Cambria"/>
          <w:sz w:val="22"/>
          <w:szCs w:val="22"/>
        </w:rPr>
        <w:t xml:space="preserve">, 2023; Lin, 2025; </w:t>
      </w:r>
      <w:proofErr w:type="spellStart"/>
      <w:r w:rsidRPr="005D550B">
        <w:rPr>
          <w:rFonts w:ascii="Cambria" w:eastAsia="Cambria" w:hAnsi="Cambria" w:cs="Cambria"/>
          <w:sz w:val="22"/>
          <w:szCs w:val="22"/>
        </w:rPr>
        <w:t>Sovacool</w:t>
      </w:r>
      <w:proofErr w:type="spellEnd"/>
      <w:r w:rsidRPr="005D550B">
        <w:rPr>
          <w:rFonts w:ascii="Cambria" w:eastAsia="Cambria" w:hAnsi="Cambria" w:cs="Cambria"/>
          <w:sz w:val="22"/>
          <w:szCs w:val="22"/>
        </w:rPr>
        <w:t>, 2021; Worrall et al., 2018). Robbins</w:t>
      </w:r>
      <w:r w:rsidR="00DC5310" w:rsidRPr="005D550B">
        <w:rPr>
          <w:rFonts w:ascii="Cambria" w:eastAsia="Cambria" w:hAnsi="Cambria" w:cs="Cambria"/>
          <w:sz w:val="22"/>
          <w:szCs w:val="22"/>
        </w:rPr>
        <w:t xml:space="preserve"> (</w:t>
      </w:r>
      <w:r w:rsidRPr="005D550B">
        <w:rPr>
          <w:rFonts w:ascii="Cambria" w:eastAsia="Cambria" w:hAnsi="Cambria" w:cs="Cambria"/>
          <w:sz w:val="22"/>
          <w:szCs w:val="22"/>
        </w:rPr>
        <w:t xml:space="preserve">2012) maps political ecology into 5 major themes; degradation and marginalization, conservation and control, environmental conflict and </w:t>
      </w:r>
      <w:r w:rsidRPr="005D550B">
        <w:rPr>
          <w:rFonts w:ascii="Cambria" w:eastAsia="Cambria" w:hAnsi="Cambria" w:cs="Cambria"/>
          <w:sz w:val="22"/>
          <w:szCs w:val="22"/>
        </w:rPr>
        <w:lastRenderedPageBreak/>
        <w:t>exclusion, environmental subjects and identity, and political objects and actors. This article will focus on the most relevant theses; conservation and control, environmental conflict and exclusion, and environmental subjects and identity.</w:t>
      </w:r>
    </w:p>
    <w:p w14:paraId="2ED67D39" w14:textId="3127814B" w:rsidR="007671C4" w:rsidRPr="005D550B" w:rsidRDefault="007671C4">
      <w:pPr>
        <w:ind w:firstLine="426"/>
        <w:rPr>
          <w:rFonts w:ascii="Cambria" w:eastAsia="Cambria" w:hAnsi="Cambria" w:cs="Cambria"/>
          <w:sz w:val="22"/>
          <w:szCs w:val="22"/>
        </w:rPr>
      </w:pPr>
      <w:r w:rsidRPr="005D550B">
        <w:rPr>
          <w:rFonts w:ascii="Cambria" w:eastAsia="Cambria" w:hAnsi="Cambria" w:cs="Cambria"/>
          <w:sz w:val="22"/>
          <w:szCs w:val="22"/>
        </w:rPr>
        <w:t xml:space="preserve">The </w:t>
      </w:r>
      <w:r w:rsidR="0077154E">
        <w:rPr>
          <w:rFonts w:ascii="Cambria" w:eastAsia="Cambria" w:hAnsi="Cambria" w:cs="Cambria"/>
          <w:sz w:val="22"/>
          <w:szCs w:val="22"/>
        </w:rPr>
        <w:t>c</w:t>
      </w:r>
      <w:r w:rsidRPr="005D550B">
        <w:rPr>
          <w:rFonts w:ascii="Cambria" w:eastAsia="Cambria" w:hAnsi="Cambria" w:cs="Cambria"/>
          <w:sz w:val="22"/>
          <w:szCs w:val="22"/>
        </w:rPr>
        <w:t xml:space="preserve">onservation and control thesis explains about the conservation outcomes, especially the failed ones, and attempts to explain how conservation efforts are often labelled as a benign action, focusing on the result, but ends up having pernicious effects. It often champion environmental preservation over local practices. One of the manifestations of this is green grabbing. The ESDM Ministerial Decree of making Flores as </w:t>
      </w:r>
      <w:r w:rsidRPr="00CA410E">
        <w:rPr>
          <w:rFonts w:ascii="Cambria" w:eastAsia="Cambria" w:hAnsi="Cambria" w:cs="Cambria"/>
          <w:i/>
          <w:iCs/>
          <w:sz w:val="22"/>
          <w:szCs w:val="22"/>
        </w:rPr>
        <w:t>Pulau Panas Bumi</w:t>
      </w:r>
      <w:r w:rsidRPr="005D550B">
        <w:rPr>
          <w:rFonts w:ascii="Cambria" w:eastAsia="Cambria" w:hAnsi="Cambria" w:cs="Cambria"/>
          <w:sz w:val="22"/>
          <w:szCs w:val="22"/>
        </w:rPr>
        <w:t xml:space="preserve"> established for benign and positive goals; energy security, poverty alleviation, harnessing renewable resources, and supporting other economic sectors of </w:t>
      </w:r>
      <w:r w:rsidR="0077154E">
        <w:rPr>
          <w:rFonts w:ascii="Cambria" w:eastAsia="Cambria" w:hAnsi="Cambria" w:cs="Cambria"/>
          <w:sz w:val="22"/>
          <w:szCs w:val="22"/>
        </w:rPr>
        <w:t xml:space="preserve">East </w:t>
      </w:r>
      <w:r w:rsidRPr="005D550B">
        <w:rPr>
          <w:rFonts w:ascii="Cambria" w:eastAsia="Cambria" w:hAnsi="Cambria" w:cs="Cambria"/>
          <w:sz w:val="22"/>
          <w:szCs w:val="22"/>
        </w:rPr>
        <w:t>Nusa Tenggara. However, local resistance still arises even with these stated objectives.</w:t>
      </w:r>
    </w:p>
    <w:p w14:paraId="3B0BA34D" w14:textId="384A5A46" w:rsidR="007671C4" w:rsidRPr="005D550B" w:rsidRDefault="007671C4">
      <w:pPr>
        <w:ind w:firstLine="426"/>
        <w:rPr>
          <w:rFonts w:ascii="Cambria" w:eastAsia="Cambria" w:hAnsi="Cambria" w:cs="Cambria"/>
          <w:sz w:val="22"/>
          <w:szCs w:val="22"/>
        </w:rPr>
      </w:pPr>
      <w:r w:rsidRPr="005D550B">
        <w:rPr>
          <w:rFonts w:ascii="Cambria" w:eastAsia="Cambria" w:hAnsi="Cambria" w:cs="Cambria"/>
          <w:sz w:val="22"/>
          <w:szCs w:val="22"/>
        </w:rPr>
        <w:t>Next, the Environmental and exclusion theses explain about the enclosure and/or limiting access of natural resources between groups, whether it’s gender, class, race ethnicity. Geothermal plants are water-intensive facilities (</w:t>
      </w:r>
      <w:proofErr w:type="spellStart"/>
      <w:r w:rsidRPr="005D550B">
        <w:rPr>
          <w:rFonts w:ascii="Cambria" w:eastAsia="Cambria" w:hAnsi="Cambria" w:cs="Cambria"/>
          <w:sz w:val="22"/>
          <w:szCs w:val="22"/>
        </w:rPr>
        <w:t>Chandrasekharam</w:t>
      </w:r>
      <w:proofErr w:type="spellEnd"/>
      <w:r w:rsidRPr="005D550B">
        <w:rPr>
          <w:rFonts w:ascii="Cambria" w:eastAsia="Cambria" w:hAnsi="Cambria" w:cs="Cambria"/>
          <w:sz w:val="22"/>
          <w:szCs w:val="22"/>
        </w:rPr>
        <w:t xml:space="preserve"> et al., 2020; </w:t>
      </w:r>
      <w:proofErr w:type="spellStart"/>
      <w:r w:rsidRPr="005D550B">
        <w:rPr>
          <w:rFonts w:ascii="Cambria" w:eastAsia="Cambria" w:hAnsi="Cambria" w:cs="Cambria"/>
          <w:sz w:val="22"/>
          <w:szCs w:val="22"/>
        </w:rPr>
        <w:t>Mariita</w:t>
      </w:r>
      <w:proofErr w:type="spellEnd"/>
      <w:r w:rsidRPr="005D550B">
        <w:rPr>
          <w:rFonts w:ascii="Cambria" w:eastAsia="Cambria" w:hAnsi="Cambria" w:cs="Cambria"/>
          <w:sz w:val="22"/>
          <w:szCs w:val="22"/>
        </w:rPr>
        <w:t xml:space="preserve">, 2002). When such facilities are developed within agrarian landscapes, it will eventually limit local access and inevitably </w:t>
      </w:r>
      <w:r w:rsidR="0077154E" w:rsidRPr="005D550B">
        <w:rPr>
          <w:rFonts w:ascii="Cambria" w:eastAsia="Cambria" w:hAnsi="Cambria" w:cs="Cambria"/>
          <w:sz w:val="22"/>
          <w:szCs w:val="22"/>
        </w:rPr>
        <w:t>trigger</w:t>
      </w:r>
      <w:r w:rsidRPr="005D550B">
        <w:rPr>
          <w:rFonts w:ascii="Cambria" w:eastAsia="Cambria" w:hAnsi="Cambria" w:cs="Cambria"/>
          <w:sz w:val="22"/>
          <w:szCs w:val="22"/>
        </w:rPr>
        <w:t xml:space="preserve"> a resource-based conflict; a direct competition between the state green infrastructure and the local communities agricultural and household needs. The control over water for the plant, semi-arid condition of Flores Island (</w:t>
      </w:r>
      <w:proofErr w:type="spellStart"/>
      <w:r w:rsidRPr="005D550B">
        <w:rPr>
          <w:rFonts w:ascii="Cambria" w:eastAsia="Cambria" w:hAnsi="Cambria" w:cs="Cambria"/>
          <w:sz w:val="22"/>
          <w:szCs w:val="22"/>
        </w:rPr>
        <w:t>Mulyani</w:t>
      </w:r>
      <w:proofErr w:type="spellEnd"/>
      <w:r w:rsidRPr="005D550B">
        <w:rPr>
          <w:rFonts w:ascii="Cambria" w:eastAsia="Cambria" w:hAnsi="Cambria" w:cs="Cambria"/>
          <w:sz w:val="22"/>
          <w:szCs w:val="22"/>
        </w:rPr>
        <w:t xml:space="preserve"> et al., 2013; Ngongo et al., 2022), and the government's failure to meet communities basic clean water needs (</w:t>
      </w:r>
      <w:proofErr w:type="spellStart"/>
      <w:r w:rsidRPr="005D550B">
        <w:rPr>
          <w:rFonts w:ascii="Cambria" w:eastAsia="Cambria" w:hAnsi="Cambria" w:cs="Cambria"/>
          <w:sz w:val="22"/>
          <w:szCs w:val="22"/>
        </w:rPr>
        <w:t>Messakh</w:t>
      </w:r>
      <w:proofErr w:type="spellEnd"/>
      <w:r w:rsidRPr="005D550B">
        <w:rPr>
          <w:rFonts w:ascii="Cambria" w:eastAsia="Cambria" w:hAnsi="Cambria" w:cs="Cambria"/>
          <w:sz w:val="22"/>
          <w:szCs w:val="22"/>
        </w:rPr>
        <w:t xml:space="preserve"> et al., 2018) can be </w:t>
      </w:r>
      <w:proofErr w:type="spellStart"/>
      <w:r w:rsidRPr="005D550B">
        <w:rPr>
          <w:rFonts w:ascii="Cambria" w:eastAsia="Cambria" w:hAnsi="Cambria" w:cs="Cambria"/>
          <w:sz w:val="22"/>
          <w:szCs w:val="22"/>
        </w:rPr>
        <w:t>analysed</w:t>
      </w:r>
      <w:proofErr w:type="spellEnd"/>
      <w:r w:rsidRPr="005D550B">
        <w:rPr>
          <w:rFonts w:ascii="Cambria" w:eastAsia="Cambria" w:hAnsi="Cambria" w:cs="Cambria"/>
          <w:sz w:val="22"/>
          <w:szCs w:val="22"/>
        </w:rPr>
        <w:t xml:space="preserve"> from this thesis.</w:t>
      </w:r>
    </w:p>
    <w:p w14:paraId="1EF853AE" w14:textId="71A250CB" w:rsidR="007671C4" w:rsidRPr="005D550B" w:rsidRDefault="007671C4">
      <w:pPr>
        <w:ind w:firstLine="426"/>
        <w:rPr>
          <w:rFonts w:ascii="Cambria" w:eastAsia="Cambria" w:hAnsi="Cambria" w:cs="Cambria"/>
          <w:sz w:val="22"/>
          <w:szCs w:val="22"/>
        </w:rPr>
      </w:pPr>
      <w:r w:rsidRPr="005D550B">
        <w:rPr>
          <w:rFonts w:ascii="Cambria" w:eastAsia="Cambria" w:hAnsi="Cambria" w:cs="Cambria"/>
          <w:sz w:val="22"/>
          <w:szCs w:val="22"/>
        </w:rPr>
        <w:t xml:space="preserve">Lastly, the Environmental subjects and identity explain </w:t>
      </w:r>
      <w:r w:rsidR="0077154E" w:rsidRPr="005D550B">
        <w:rPr>
          <w:rFonts w:ascii="Cambria" w:eastAsia="Cambria" w:hAnsi="Cambria" w:cs="Cambria"/>
          <w:sz w:val="22"/>
          <w:szCs w:val="22"/>
        </w:rPr>
        <w:t>the</w:t>
      </w:r>
      <w:r w:rsidRPr="005D550B">
        <w:rPr>
          <w:rFonts w:ascii="Cambria" w:eastAsia="Cambria" w:hAnsi="Cambria" w:cs="Cambria"/>
          <w:sz w:val="22"/>
          <w:szCs w:val="22"/>
        </w:rPr>
        <w:t xml:space="preserve"> identities of people and social groups, especially new or emerging ones. The institutionalized and power-laden environmental management regimes have triggered the emergence of new social subjects, along with their ever-changing identity, new world view, ideology, and ecological </w:t>
      </w:r>
      <w:proofErr w:type="spellStart"/>
      <w:r w:rsidRPr="005D550B">
        <w:rPr>
          <w:rFonts w:ascii="Cambria" w:eastAsia="Cambria" w:hAnsi="Cambria" w:cs="Cambria"/>
          <w:sz w:val="22"/>
          <w:szCs w:val="22"/>
        </w:rPr>
        <w:t>behaviour</w:t>
      </w:r>
      <w:proofErr w:type="spellEnd"/>
      <w:r w:rsidRPr="005D550B">
        <w:rPr>
          <w:rFonts w:ascii="Cambria" w:eastAsia="Cambria" w:hAnsi="Cambria" w:cs="Cambria"/>
          <w:sz w:val="22"/>
          <w:szCs w:val="22"/>
        </w:rPr>
        <w:t xml:space="preserve">. This phenomenon becomes clearer when the local communities, farmers, and other highly-risk marginalized </w:t>
      </w:r>
      <w:r w:rsidR="0077154E" w:rsidRPr="005D550B">
        <w:rPr>
          <w:rFonts w:ascii="Cambria" w:eastAsia="Cambria" w:hAnsi="Cambria" w:cs="Cambria"/>
          <w:sz w:val="22"/>
          <w:szCs w:val="22"/>
        </w:rPr>
        <w:t>groups’</w:t>
      </w:r>
      <w:r w:rsidRPr="005D550B">
        <w:rPr>
          <w:rFonts w:ascii="Cambria" w:eastAsia="Cambria" w:hAnsi="Cambria" w:cs="Cambria"/>
          <w:sz w:val="22"/>
          <w:szCs w:val="22"/>
        </w:rPr>
        <w:t xml:space="preserve"> ways of living. This change can transform the group into a political resistance movement. In the context of Flores, this is concretely manifested through the formation of groups such as Flores </w:t>
      </w:r>
      <w:r w:rsidR="00C94255">
        <w:rPr>
          <w:rFonts w:ascii="Cambria" w:eastAsia="Cambria" w:hAnsi="Cambria" w:cs="Cambria"/>
          <w:sz w:val="22"/>
          <w:szCs w:val="22"/>
        </w:rPr>
        <w:t>Community</w:t>
      </w:r>
      <w:r w:rsidRPr="005D550B">
        <w:rPr>
          <w:rFonts w:ascii="Cambria" w:eastAsia="Cambria" w:hAnsi="Cambria" w:cs="Cambria"/>
          <w:sz w:val="22"/>
          <w:szCs w:val="22"/>
        </w:rPr>
        <w:t xml:space="preserve"> Coalition against Geothermal</w:t>
      </w:r>
      <w:r w:rsidR="0077154E">
        <w:rPr>
          <w:rFonts w:ascii="Cambria" w:eastAsia="Cambria" w:hAnsi="Cambria" w:cs="Cambria"/>
          <w:sz w:val="22"/>
          <w:szCs w:val="22"/>
        </w:rPr>
        <w:t>/</w:t>
      </w:r>
      <w:proofErr w:type="spellStart"/>
      <w:r w:rsidR="0077154E" w:rsidRPr="0077154E">
        <w:rPr>
          <w:rFonts w:ascii="Cambria" w:eastAsia="Cambria" w:hAnsi="Cambria" w:cs="Cambria"/>
          <w:i/>
          <w:iCs/>
          <w:sz w:val="22"/>
          <w:szCs w:val="22"/>
        </w:rPr>
        <w:t>Koalisi</w:t>
      </w:r>
      <w:proofErr w:type="spellEnd"/>
      <w:r w:rsidR="0077154E" w:rsidRPr="0077154E">
        <w:rPr>
          <w:rFonts w:ascii="Cambria" w:eastAsia="Cambria" w:hAnsi="Cambria" w:cs="Cambria"/>
          <w:i/>
          <w:iCs/>
          <w:sz w:val="22"/>
          <w:szCs w:val="22"/>
        </w:rPr>
        <w:t xml:space="preserve"> Masyarakat Flores </w:t>
      </w:r>
      <w:proofErr w:type="spellStart"/>
      <w:r w:rsidR="0077154E" w:rsidRPr="0077154E">
        <w:rPr>
          <w:rFonts w:ascii="Cambria" w:eastAsia="Cambria" w:hAnsi="Cambria" w:cs="Cambria"/>
          <w:i/>
          <w:iCs/>
          <w:sz w:val="22"/>
          <w:szCs w:val="22"/>
        </w:rPr>
        <w:t>Tolak</w:t>
      </w:r>
      <w:proofErr w:type="spellEnd"/>
      <w:r w:rsidR="0077154E" w:rsidRPr="0077154E">
        <w:rPr>
          <w:rFonts w:ascii="Cambria" w:eastAsia="Cambria" w:hAnsi="Cambria" w:cs="Cambria"/>
          <w:i/>
          <w:iCs/>
          <w:sz w:val="22"/>
          <w:szCs w:val="22"/>
        </w:rPr>
        <w:t xml:space="preserve"> Geothermal</w:t>
      </w:r>
      <w:r w:rsidRPr="005D550B">
        <w:rPr>
          <w:rFonts w:ascii="Cambria" w:eastAsia="Cambria" w:hAnsi="Cambria" w:cs="Cambria"/>
          <w:sz w:val="22"/>
          <w:szCs w:val="22"/>
        </w:rPr>
        <w:t xml:space="preserve">, </w:t>
      </w:r>
      <w:r w:rsidR="0077154E" w:rsidRPr="0077154E">
        <w:rPr>
          <w:rFonts w:ascii="Cambria" w:eastAsia="Cambria" w:hAnsi="Cambria" w:cs="Cambria"/>
          <w:sz w:val="22"/>
          <w:szCs w:val="22"/>
        </w:rPr>
        <w:t>Alliance Stands in Solidarity with Geothermal Victims in Flores</w:t>
      </w:r>
      <w:r w:rsidR="0077154E">
        <w:rPr>
          <w:rFonts w:ascii="Cambria" w:eastAsia="Cambria" w:hAnsi="Cambria" w:cs="Cambria"/>
          <w:sz w:val="22"/>
          <w:szCs w:val="22"/>
        </w:rPr>
        <w:t>/</w:t>
      </w:r>
      <w:proofErr w:type="spellStart"/>
      <w:r w:rsidRPr="0077154E">
        <w:rPr>
          <w:rFonts w:ascii="Cambria" w:eastAsia="Cambria" w:hAnsi="Cambria" w:cs="Cambria"/>
          <w:i/>
          <w:iCs/>
          <w:sz w:val="22"/>
          <w:szCs w:val="22"/>
        </w:rPr>
        <w:t>Aliansi</w:t>
      </w:r>
      <w:proofErr w:type="spellEnd"/>
      <w:r w:rsidRPr="0077154E">
        <w:rPr>
          <w:rFonts w:ascii="Cambria" w:eastAsia="Cambria" w:hAnsi="Cambria" w:cs="Cambria"/>
          <w:i/>
          <w:iCs/>
          <w:sz w:val="22"/>
          <w:szCs w:val="22"/>
        </w:rPr>
        <w:t xml:space="preserve"> </w:t>
      </w:r>
      <w:proofErr w:type="spellStart"/>
      <w:r w:rsidRPr="0077154E">
        <w:rPr>
          <w:rFonts w:ascii="Cambria" w:eastAsia="Cambria" w:hAnsi="Cambria" w:cs="Cambria"/>
          <w:i/>
          <w:iCs/>
          <w:sz w:val="22"/>
          <w:szCs w:val="22"/>
        </w:rPr>
        <w:t>Terlibat</w:t>
      </w:r>
      <w:proofErr w:type="spellEnd"/>
      <w:r w:rsidRPr="0077154E">
        <w:rPr>
          <w:rFonts w:ascii="Cambria" w:eastAsia="Cambria" w:hAnsi="Cambria" w:cs="Cambria"/>
          <w:i/>
          <w:iCs/>
          <w:sz w:val="22"/>
          <w:szCs w:val="22"/>
        </w:rPr>
        <w:t xml:space="preserve"> Bersama Korban Geothermal Flores</w:t>
      </w:r>
      <w:r w:rsidRPr="005D550B">
        <w:rPr>
          <w:rFonts w:ascii="Cambria" w:eastAsia="Cambria" w:hAnsi="Cambria" w:cs="Cambria"/>
          <w:sz w:val="22"/>
          <w:szCs w:val="22"/>
        </w:rPr>
        <w:t xml:space="preserve"> (Alter KGF), and other environmental based </w:t>
      </w:r>
      <w:r w:rsidR="0077154E" w:rsidRPr="005D550B">
        <w:rPr>
          <w:rFonts w:ascii="Cambria" w:eastAsia="Cambria" w:hAnsi="Cambria" w:cs="Cambria"/>
          <w:sz w:val="22"/>
          <w:szCs w:val="22"/>
        </w:rPr>
        <w:t>groups</w:t>
      </w:r>
      <w:r w:rsidRPr="005D550B">
        <w:rPr>
          <w:rFonts w:ascii="Cambria" w:eastAsia="Cambria" w:hAnsi="Cambria" w:cs="Cambria"/>
          <w:sz w:val="22"/>
          <w:szCs w:val="22"/>
        </w:rPr>
        <w:t xml:space="preserve"> that directly interact with this issue. This new ecological identity can be seen as an active </w:t>
      </w:r>
      <w:proofErr w:type="spellStart"/>
      <w:r w:rsidRPr="005D550B">
        <w:rPr>
          <w:rFonts w:ascii="Cambria" w:eastAsia="Cambria" w:hAnsi="Cambria" w:cs="Cambria"/>
          <w:sz w:val="22"/>
          <w:szCs w:val="22"/>
        </w:rPr>
        <w:t>defence</w:t>
      </w:r>
      <w:proofErr w:type="spellEnd"/>
      <w:r w:rsidRPr="005D550B">
        <w:rPr>
          <w:rFonts w:ascii="Cambria" w:eastAsia="Cambria" w:hAnsi="Cambria" w:cs="Cambria"/>
          <w:sz w:val="22"/>
          <w:szCs w:val="22"/>
        </w:rPr>
        <w:t xml:space="preserve"> mechanism from the local communities on defending their living space.</w:t>
      </w:r>
    </w:p>
    <w:p w14:paraId="7229609D" w14:textId="6C1E48ED" w:rsidR="007671C4" w:rsidRPr="005D550B" w:rsidRDefault="007671C4">
      <w:pPr>
        <w:ind w:firstLine="426"/>
        <w:rPr>
          <w:rFonts w:ascii="Cambria" w:eastAsia="Cambria" w:hAnsi="Cambria" w:cs="Cambria"/>
          <w:sz w:val="22"/>
          <w:szCs w:val="22"/>
        </w:rPr>
      </w:pPr>
      <w:r w:rsidRPr="005D550B">
        <w:rPr>
          <w:rFonts w:ascii="Cambria" w:eastAsia="Cambria" w:hAnsi="Cambria" w:cs="Cambria"/>
          <w:sz w:val="22"/>
          <w:szCs w:val="22"/>
        </w:rPr>
        <w:t xml:space="preserve">Historically, there’s a significant difference between older existing geothermal power plants in the rest of the country (mostly concentrated within West Java) and the developing ones in </w:t>
      </w:r>
      <w:r w:rsidRPr="00CA410E">
        <w:rPr>
          <w:rFonts w:ascii="Cambria" w:eastAsia="Cambria" w:hAnsi="Cambria" w:cs="Cambria"/>
          <w:i/>
          <w:iCs/>
          <w:sz w:val="22"/>
          <w:szCs w:val="22"/>
        </w:rPr>
        <w:t>Pulau Panas Bumi</w:t>
      </w:r>
      <w:r w:rsidRPr="005D550B">
        <w:rPr>
          <w:rFonts w:ascii="Cambria" w:eastAsia="Cambria" w:hAnsi="Cambria" w:cs="Cambria"/>
          <w:sz w:val="22"/>
          <w:szCs w:val="22"/>
        </w:rPr>
        <w:t xml:space="preserve">. The disparity is also reflected on the literature regarding geothermal development in Indonesia. It creates an empirical and theoretical gap due to the geographical and socio-legal locus of these energy developments. Older, large-scale power plants such as </w:t>
      </w:r>
      <w:proofErr w:type="spellStart"/>
      <w:r w:rsidRPr="005D550B">
        <w:rPr>
          <w:rFonts w:ascii="Cambria" w:eastAsia="Cambria" w:hAnsi="Cambria" w:cs="Cambria"/>
          <w:sz w:val="22"/>
          <w:szCs w:val="22"/>
        </w:rPr>
        <w:t>Kamojang</w:t>
      </w:r>
      <w:proofErr w:type="spellEnd"/>
      <w:r w:rsidRPr="005D550B">
        <w:rPr>
          <w:rFonts w:ascii="Cambria" w:eastAsia="Cambria" w:hAnsi="Cambria" w:cs="Cambria"/>
          <w:sz w:val="22"/>
          <w:szCs w:val="22"/>
        </w:rPr>
        <w:t xml:space="preserve">, Mount Salak, </w:t>
      </w:r>
      <w:proofErr w:type="spellStart"/>
      <w:r w:rsidRPr="005D550B">
        <w:rPr>
          <w:rFonts w:ascii="Cambria" w:eastAsia="Cambria" w:hAnsi="Cambria" w:cs="Cambria"/>
          <w:sz w:val="22"/>
          <w:szCs w:val="22"/>
        </w:rPr>
        <w:t>Patuha</w:t>
      </w:r>
      <w:proofErr w:type="spellEnd"/>
      <w:r w:rsidRPr="005D550B">
        <w:rPr>
          <w:rFonts w:ascii="Cambria" w:eastAsia="Cambria" w:hAnsi="Cambria" w:cs="Cambria"/>
          <w:sz w:val="22"/>
          <w:szCs w:val="22"/>
        </w:rPr>
        <w:t xml:space="preserve">, </w:t>
      </w:r>
      <w:proofErr w:type="spellStart"/>
      <w:r w:rsidRPr="005D550B">
        <w:rPr>
          <w:rFonts w:ascii="Cambria" w:eastAsia="Cambria" w:hAnsi="Cambria" w:cs="Cambria"/>
          <w:sz w:val="22"/>
          <w:szCs w:val="22"/>
        </w:rPr>
        <w:t>Wayang</w:t>
      </w:r>
      <w:proofErr w:type="spellEnd"/>
      <w:r w:rsidRPr="005D550B">
        <w:rPr>
          <w:rFonts w:ascii="Cambria" w:eastAsia="Cambria" w:hAnsi="Cambria" w:cs="Cambria"/>
          <w:sz w:val="22"/>
          <w:szCs w:val="22"/>
        </w:rPr>
        <w:t xml:space="preserve"> Windu, Dieng, </w:t>
      </w:r>
      <w:proofErr w:type="spellStart"/>
      <w:r w:rsidRPr="005D550B">
        <w:rPr>
          <w:rFonts w:ascii="Cambria" w:eastAsia="Cambria" w:hAnsi="Cambria" w:cs="Cambria"/>
          <w:sz w:val="22"/>
          <w:szCs w:val="22"/>
        </w:rPr>
        <w:t>Ulubelu</w:t>
      </w:r>
      <w:proofErr w:type="spellEnd"/>
      <w:r w:rsidRPr="005D550B">
        <w:rPr>
          <w:rFonts w:ascii="Cambria" w:eastAsia="Cambria" w:hAnsi="Cambria" w:cs="Cambria"/>
          <w:sz w:val="22"/>
          <w:szCs w:val="22"/>
        </w:rPr>
        <w:t xml:space="preserve">, and </w:t>
      </w:r>
      <w:proofErr w:type="spellStart"/>
      <w:r w:rsidRPr="005D550B">
        <w:rPr>
          <w:rFonts w:ascii="Cambria" w:eastAsia="Cambria" w:hAnsi="Cambria" w:cs="Cambria"/>
          <w:sz w:val="22"/>
          <w:szCs w:val="22"/>
        </w:rPr>
        <w:t>Sibayak</w:t>
      </w:r>
      <w:proofErr w:type="spellEnd"/>
      <w:r w:rsidRPr="005D550B">
        <w:rPr>
          <w:rFonts w:ascii="Cambria" w:eastAsia="Cambria" w:hAnsi="Cambria" w:cs="Cambria"/>
          <w:sz w:val="22"/>
          <w:szCs w:val="22"/>
        </w:rPr>
        <w:t xml:space="preserve"> shared a mostly same baseline; these established projects are predominantly situated within state-owned forest areas</w:t>
      </w:r>
      <w:r w:rsidR="0077154E">
        <w:rPr>
          <w:rFonts w:ascii="Cambria" w:eastAsia="Cambria" w:hAnsi="Cambria" w:cs="Cambria"/>
          <w:sz w:val="22"/>
          <w:szCs w:val="22"/>
        </w:rPr>
        <w:t>/</w:t>
      </w:r>
      <w:proofErr w:type="spellStart"/>
      <w:r w:rsidR="0077154E" w:rsidRPr="0077154E">
        <w:rPr>
          <w:rFonts w:ascii="Cambria" w:eastAsia="Cambria" w:hAnsi="Cambria" w:cs="Cambria"/>
          <w:i/>
          <w:iCs/>
          <w:sz w:val="22"/>
          <w:szCs w:val="22"/>
        </w:rPr>
        <w:t>h</w:t>
      </w:r>
      <w:r w:rsidRPr="0077154E">
        <w:rPr>
          <w:rFonts w:ascii="Cambria" w:eastAsia="Cambria" w:hAnsi="Cambria" w:cs="Cambria"/>
          <w:i/>
          <w:iCs/>
          <w:sz w:val="22"/>
          <w:szCs w:val="22"/>
        </w:rPr>
        <w:t>utan</w:t>
      </w:r>
      <w:proofErr w:type="spellEnd"/>
      <w:r w:rsidRPr="0077154E">
        <w:rPr>
          <w:rFonts w:ascii="Cambria" w:eastAsia="Cambria" w:hAnsi="Cambria" w:cs="Cambria"/>
          <w:i/>
          <w:iCs/>
          <w:sz w:val="22"/>
          <w:szCs w:val="22"/>
        </w:rPr>
        <w:t xml:space="preserve"> </w:t>
      </w:r>
      <w:proofErr w:type="spellStart"/>
      <w:r w:rsidR="0077154E" w:rsidRPr="0077154E">
        <w:rPr>
          <w:rFonts w:ascii="Cambria" w:eastAsia="Cambria" w:hAnsi="Cambria" w:cs="Cambria"/>
          <w:i/>
          <w:iCs/>
          <w:sz w:val="22"/>
          <w:szCs w:val="22"/>
        </w:rPr>
        <w:t>l</w:t>
      </w:r>
      <w:r w:rsidRPr="0077154E">
        <w:rPr>
          <w:rFonts w:ascii="Cambria" w:eastAsia="Cambria" w:hAnsi="Cambria" w:cs="Cambria"/>
          <w:i/>
          <w:iCs/>
          <w:sz w:val="22"/>
          <w:szCs w:val="22"/>
        </w:rPr>
        <w:t>indung</w:t>
      </w:r>
      <w:proofErr w:type="spellEnd"/>
      <w:r w:rsidRPr="005D550B">
        <w:rPr>
          <w:rFonts w:ascii="Cambria" w:eastAsia="Cambria" w:hAnsi="Cambria" w:cs="Cambria"/>
          <w:sz w:val="22"/>
          <w:szCs w:val="22"/>
        </w:rPr>
        <w:t xml:space="preserve"> or</w:t>
      </w:r>
      <w:r w:rsidR="0077154E">
        <w:rPr>
          <w:rFonts w:ascii="Cambria" w:eastAsia="Cambria" w:hAnsi="Cambria" w:cs="Cambria"/>
          <w:sz w:val="22"/>
          <w:szCs w:val="22"/>
        </w:rPr>
        <w:t xml:space="preserve"> conservation area/</w:t>
      </w:r>
      <w:proofErr w:type="spellStart"/>
      <w:r w:rsidR="0077154E" w:rsidRPr="0077154E">
        <w:rPr>
          <w:rFonts w:ascii="Cambria" w:eastAsia="Cambria" w:hAnsi="Cambria" w:cs="Cambria"/>
          <w:i/>
          <w:iCs/>
          <w:sz w:val="22"/>
          <w:szCs w:val="22"/>
        </w:rPr>
        <w:t>kawasan</w:t>
      </w:r>
      <w:proofErr w:type="spellEnd"/>
      <w:r w:rsidR="0077154E" w:rsidRPr="0077154E">
        <w:rPr>
          <w:rFonts w:ascii="Cambria" w:eastAsia="Cambria" w:hAnsi="Cambria" w:cs="Cambria"/>
          <w:i/>
          <w:iCs/>
          <w:sz w:val="22"/>
          <w:szCs w:val="22"/>
        </w:rPr>
        <w:t xml:space="preserve"> </w:t>
      </w:r>
      <w:proofErr w:type="spellStart"/>
      <w:r w:rsidR="0077154E" w:rsidRPr="0077154E">
        <w:rPr>
          <w:rFonts w:ascii="Cambria" w:eastAsia="Cambria" w:hAnsi="Cambria" w:cs="Cambria"/>
          <w:i/>
          <w:iCs/>
          <w:sz w:val="22"/>
          <w:szCs w:val="22"/>
        </w:rPr>
        <w:t>konservasi</w:t>
      </w:r>
      <w:proofErr w:type="spellEnd"/>
      <w:r w:rsidRPr="005D550B">
        <w:rPr>
          <w:rFonts w:ascii="Cambria" w:eastAsia="Cambria" w:hAnsi="Cambria" w:cs="Cambria"/>
          <w:sz w:val="22"/>
          <w:szCs w:val="22"/>
        </w:rPr>
        <w:t>, which is legally vacant of communities. In these unpopulated areas, the Conservation and Control thesis could easily be simplified as land swaps or technical environmental degradation. Unlike the state-owned forests area, geothermal projects in Flores, as well as the planned expansions are located within the area inhabited by people, which allow the green grabbing phenomenon to happen. Since 80% of Indonesian geothermal reserves are within protected forest and conservation area (</w:t>
      </w:r>
      <w:proofErr w:type="spellStart"/>
      <w:r w:rsidRPr="005D550B">
        <w:rPr>
          <w:rFonts w:ascii="Cambria" w:eastAsia="Cambria" w:hAnsi="Cambria" w:cs="Cambria"/>
          <w:sz w:val="22"/>
          <w:szCs w:val="22"/>
        </w:rPr>
        <w:t>Muslihudin</w:t>
      </w:r>
      <w:proofErr w:type="spellEnd"/>
      <w:r w:rsidRPr="005D550B">
        <w:rPr>
          <w:rFonts w:ascii="Cambria" w:eastAsia="Cambria" w:hAnsi="Cambria" w:cs="Cambria"/>
          <w:sz w:val="22"/>
          <w:szCs w:val="22"/>
        </w:rPr>
        <w:t xml:space="preserve"> et al., 2023; </w:t>
      </w:r>
      <w:proofErr w:type="spellStart"/>
      <w:r w:rsidRPr="005D550B">
        <w:rPr>
          <w:rFonts w:ascii="Cambria" w:eastAsia="Cambria" w:hAnsi="Cambria" w:cs="Cambria"/>
          <w:sz w:val="22"/>
          <w:szCs w:val="22"/>
        </w:rPr>
        <w:t>Yudha</w:t>
      </w:r>
      <w:proofErr w:type="spellEnd"/>
      <w:r w:rsidRPr="005D550B">
        <w:rPr>
          <w:rFonts w:ascii="Cambria" w:eastAsia="Cambria" w:hAnsi="Cambria" w:cs="Cambria"/>
          <w:sz w:val="22"/>
          <w:szCs w:val="22"/>
        </w:rPr>
        <w:t xml:space="preserve"> et al., 2022), the Terra nullius or Java-centric perspective will become more deeply internalized. By forcing a regulatory framework and development planning designed for uninhabited state forests onto the densely populated customary lands of Flores, the state inevitably transforms the renewable energy transition into a fertile ground for spatial exclusion.</w:t>
      </w:r>
    </w:p>
    <w:p w14:paraId="25D90146" w14:textId="66064BB9" w:rsidR="007671C4" w:rsidRPr="005D550B" w:rsidRDefault="007671C4">
      <w:pPr>
        <w:ind w:firstLine="426"/>
        <w:rPr>
          <w:rFonts w:ascii="Cambria" w:eastAsia="Cambria" w:hAnsi="Cambria" w:cs="Cambria"/>
          <w:sz w:val="22"/>
          <w:szCs w:val="22"/>
        </w:rPr>
      </w:pPr>
      <w:r w:rsidRPr="005D550B">
        <w:rPr>
          <w:rFonts w:ascii="Cambria" w:eastAsia="Cambria" w:hAnsi="Cambria" w:cs="Cambria"/>
          <w:sz w:val="22"/>
          <w:szCs w:val="22"/>
        </w:rPr>
        <w:t xml:space="preserve">Current energy transition studies often evaluate top-down policy like the designation of </w:t>
      </w:r>
      <w:r w:rsidRPr="00CA410E">
        <w:rPr>
          <w:rFonts w:ascii="Cambria" w:eastAsia="Cambria" w:hAnsi="Cambria" w:cs="Cambria"/>
          <w:i/>
          <w:iCs/>
          <w:sz w:val="22"/>
          <w:szCs w:val="22"/>
        </w:rPr>
        <w:t>Pulau Panas Bumi</w:t>
      </w:r>
      <w:r w:rsidRPr="005D550B">
        <w:rPr>
          <w:rFonts w:ascii="Cambria" w:eastAsia="Cambria" w:hAnsi="Cambria" w:cs="Cambria"/>
          <w:sz w:val="22"/>
          <w:szCs w:val="22"/>
        </w:rPr>
        <w:t xml:space="preserve"> and </w:t>
      </w:r>
      <w:r w:rsidR="002765E7" w:rsidRPr="005D550B">
        <w:rPr>
          <w:rFonts w:ascii="Cambria" w:eastAsia="Cambria" w:hAnsi="Cambria" w:cs="Cambria"/>
          <w:sz w:val="22"/>
          <w:szCs w:val="22"/>
        </w:rPr>
        <w:t>National Strategic Projects</w:t>
      </w:r>
      <w:r w:rsidR="002765E7">
        <w:rPr>
          <w:rFonts w:ascii="Cambria" w:eastAsia="Cambria" w:hAnsi="Cambria" w:cs="Cambria"/>
          <w:sz w:val="22"/>
          <w:szCs w:val="22"/>
        </w:rPr>
        <w:t>/</w:t>
      </w:r>
      <w:proofErr w:type="spellStart"/>
      <w:r w:rsidR="002765E7" w:rsidRPr="002765E7">
        <w:rPr>
          <w:rFonts w:ascii="Cambria" w:eastAsia="Cambria" w:hAnsi="Cambria" w:cs="Cambria"/>
          <w:i/>
          <w:iCs/>
          <w:sz w:val="22"/>
          <w:szCs w:val="22"/>
        </w:rPr>
        <w:t>Proyek</w:t>
      </w:r>
      <w:proofErr w:type="spellEnd"/>
      <w:r w:rsidR="002765E7" w:rsidRPr="002765E7">
        <w:rPr>
          <w:rFonts w:ascii="Cambria" w:eastAsia="Cambria" w:hAnsi="Cambria" w:cs="Cambria"/>
          <w:i/>
          <w:iCs/>
          <w:sz w:val="22"/>
          <w:szCs w:val="22"/>
        </w:rPr>
        <w:t xml:space="preserve"> </w:t>
      </w:r>
      <w:proofErr w:type="spellStart"/>
      <w:r w:rsidR="002765E7" w:rsidRPr="002765E7">
        <w:rPr>
          <w:rFonts w:ascii="Cambria" w:eastAsia="Cambria" w:hAnsi="Cambria" w:cs="Cambria"/>
          <w:i/>
          <w:iCs/>
          <w:sz w:val="22"/>
          <w:szCs w:val="22"/>
        </w:rPr>
        <w:t>Strategis</w:t>
      </w:r>
      <w:proofErr w:type="spellEnd"/>
      <w:r w:rsidR="002765E7" w:rsidRPr="002765E7">
        <w:rPr>
          <w:rFonts w:ascii="Cambria" w:eastAsia="Cambria" w:hAnsi="Cambria" w:cs="Cambria"/>
          <w:i/>
          <w:iCs/>
          <w:sz w:val="22"/>
          <w:szCs w:val="22"/>
        </w:rPr>
        <w:t xml:space="preserve"> Nasional</w:t>
      </w:r>
      <w:r w:rsidR="002765E7">
        <w:rPr>
          <w:rFonts w:ascii="Cambria" w:eastAsia="Cambria" w:hAnsi="Cambria" w:cs="Cambria"/>
          <w:sz w:val="22"/>
          <w:szCs w:val="22"/>
        </w:rPr>
        <w:t xml:space="preserve"> (</w:t>
      </w:r>
      <w:proofErr w:type="gramStart"/>
      <w:r w:rsidR="002765E7">
        <w:rPr>
          <w:rFonts w:ascii="Cambria" w:eastAsia="Cambria" w:hAnsi="Cambria" w:cs="Cambria"/>
          <w:sz w:val="22"/>
          <w:szCs w:val="22"/>
        </w:rPr>
        <w:t>PSN)</w:t>
      </w:r>
      <w:r w:rsidR="002765E7" w:rsidRPr="005D550B">
        <w:rPr>
          <w:rFonts w:ascii="Cambria" w:eastAsia="Cambria" w:hAnsi="Cambria" w:cs="Cambria"/>
          <w:sz w:val="22"/>
          <w:szCs w:val="22"/>
        </w:rPr>
        <w:t xml:space="preserve"> </w:t>
      </w:r>
      <w:r w:rsidRPr="005D550B">
        <w:rPr>
          <w:rFonts w:ascii="Cambria" w:eastAsia="Cambria" w:hAnsi="Cambria" w:cs="Cambria"/>
          <w:sz w:val="22"/>
          <w:szCs w:val="22"/>
        </w:rPr>
        <w:t xml:space="preserve"> which</w:t>
      </w:r>
      <w:proofErr w:type="gramEnd"/>
      <w:r w:rsidRPr="005D550B">
        <w:rPr>
          <w:rFonts w:ascii="Cambria" w:eastAsia="Cambria" w:hAnsi="Cambria" w:cs="Cambria"/>
          <w:sz w:val="22"/>
          <w:szCs w:val="22"/>
        </w:rPr>
        <w:t xml:space="preserve"> often mistranslated to undisputable mandate due to its regulatory status. This macro-</w:t>
      </w:r>
      <w:r w:rsidRPr="005D550B">
        <w:rPr>
          <w:rFonts w:ascii="Cambria" w:eastAsia="Cambria" w:hAnsi="Cambria" w:cs="Cambria"/>
          <w:sz w:val="22"/>
          <w:szCs w:val="22"/>
        </w:rPr>
        <w:lastRenderedPageBreak/>
        <w:t xml:space="preserve">perspective often overlooks site level dynamic of the Environmental Conflict and Exclusion thesis. Previous research tends to equate community participation with formal, bureaucratic consultations (such as </w:t>
      </w:r>
      <w:r w:rsidR="002765E7" w:rsidRPr="002765E7">
        <w:rPr>
          <w:rFonts w:ascii="Cambria" w:eastAsia="Cambria" w:hAnsi="Cambria" w:cs="Cambria"/>
          <w:sz w:val="22"/>
          <w:szCs w:val="22"/>
        </w:rPr>
        <w:t>Environmental Impact Assessments</w:t>
      </w:r>
      <w:r w:rsidRPr="005D550B">
        <w:rPr>
          <w:rFonts w:ascii="Cambria" w:eastAsia="Cambria" w:hAnsi="Cambria" w:cs="Cambria"/>
          <w:sz w:val="22"/>
          <w:szCs w:val="22"/>
        </w:rPr>
        <w:t xml:space="preserve">, CSR meetings, bureaucratic based permission), overlooking and legally enclosing vital </w:t>
      </w:r>
      <w:r w:rsidR="00E9016C" w:rsidRPr="005D550B">
        <w:rPr>
          <w:rFonts w:ascii="Cambria" w:eastAsia="Cambria" w:hAnsi="Cambria" w:cs="Cambria"/>
          <w:sz w:val="22"/>
          <w:szCs w:val="22"/>
        </w:rPr>
        <w:t>resources</w:t>
      </w:r>
      <w:r w:rsidRPr="005D550B">
        <w:rPr>
          <w:rFonts w:ascii="Cambria" w:eastAsia="Cambria" w:hAnsi="Cambria" w:cs="Cambria"/>
          <w:sz w:val="22"/>
          <w:szCs w:val="22"/>
        </w:rPr>
        <w:t xml:space="preserve">. The critical gap lies in </w:t>
      </w:r>
      <w:proofErr w:type="spellStart"/>
      <w:r w:rsidRPr="005D550B">
        <w:rPr>
          <w:rFonts w:ascii="Cambria" w:eastAsia="Cambria" w:hAnsi="Cambria" w:cs="Cambria"/>
          <w:sz w:val="22"/>
          <w:szCs w:val="22"/>
        </w:rPr>
        <w:t>analysing</w:t>
      </w:r>
      <w:proofErr w:type="spellEnd"/>
      <w:r w:rsidRPr="005D550B">
        <w:rPr>
          <w:rFonts w:ascii="Cambria" w:eastAsia="Cambria" w:hAnsi="Cambria" w:cs="Cambria"/>
          <w:sz w:val="22"/>
          <w:szCs w:val="22"/>
        </w:rPr>
        <w:t xml:space="preserve"> how the deliberate absence of a non-bureaucratic, substantive FPIC functions as a structural tool of exclusion. In the semi-arid landscape of Flores, this top-down exclusion inevitably triggers a zero-sum, resource-based conflict: pitting water-intensive state green infrastructure directly against local agrarian survival.</w:t>
      </w:r>
    </w:p>
    <w:p w14:paraId="2F0D4619" w14:textId="396D31B4" w:rsidR="00E06797" w:rsidRPr="005D550B" w:rsidRDefault="007671C4" w:rsidP="007671C4">
      <w:pPr>
        <w:ind w:firstLine="426"/>
        <w:rPr>
          <w:rFonts w:ascii="Cambria" w:eastAsia="Cambria" w:hAnsi="Cambria" w:cs="Cambria"/>
          <w:sz w:val="22"/>
          <w:szCs w:val="22"/>
        </w:rPr>
      </w:pPr>
      <w:r w:rsidRPr="005D550B">
        <w:rPr>
          <w:rFonts w:ascii="Cambria" w:eastAsia="Cambria" w:hAnsi="Cambria" w:cs="Cambria"/>
          <w:sz w:val="22"/>
          <w:szCs w:val="22"/>
        </w:rPr>
        <w:t xml:space="preserve">Based on these interconnected gaps, the novelty of this research lies in its integrative Political Ecology approach that includes the spatial reality of APL/customary lands, the procedural failure of FPIC, and the birth of active indigenous resistance. By shifting the locus from the uninhabited state forests of Java to the densely populated and socio-cultural landscapes of Flores, this study aims to dismantle the Java-centric assumptions of energy transition. By doing so, it provides a critical understanding of how renewable energy projects can reproduce colonial-style land dispossession when forced upon indigenous territories. The general objective of this research is to </w:t>
      </w:r>
      <w:r w:rsidR="00D768C8" w:rsidRPr="005D550B">
        <w:rPr>
          <w:rFonts w:ascii="Cambria" w:eastAsia="Cambria" w:hAnsi="Cambria" w:cs="Cambria"/>
          <w:sz w:val="22"/>
          <w:szCs w:val="22"/>
        </w:rPr>
        <w:t>analyses</w:t>
      </w:r>
      <w:r w:rsidRPr="005D550B">
        <w:rPr>
          <w:rFonts w:ascii="Cambria" w:eastAsia="Cambria" w:hAnsi="Cambria" w:cs="Cambria"/>
          <w:sz w:val="22"/>
          <w:szCs w:val="22"/>
        </w:rPr>
        <w:t xml:space="preserve"> the socio-environmental challenges and structural inequalities inherent in the geothermal energy transition in Flores through a Political Ecology framework. Based on the main goal, the study sets forth several interconnected analytical objectives. First, to identify the patterns of customary land appropriation by </w:t>
      </w:r>
      <w:proofErr w:type="spellStart"/>
      <w:r w:rsidRPr="005D550B">
        <w:rPr>
          <w:rFonts w:ascii="Cambria" w:eastAsia="Cambria" w:hAnsi="Cambria" w:cs="Cambria"/>
          <w:sz w:val="22"/>
          <w:szCs w:val="22"/>
        </w:rPr>
        <w:t>analysing</w:t>
      </w:r>
      <w:proofErr w:type="spellEnd"/>
      <w:r w:rsidRPr="005D550B">
        <w:rPr>
          <w:rFonts w:ascii="Cambria" w:eastAsia="Cambria" w:hAnsi="Cambria" w:cs="Cambria"/>
          <w:sz w:val="22"/>
          <w:szCs w:val="22"/>
        </w:rPr>
        <w:t xml:space="preserve"> how the spatial expansion of </w:t>
      </w:r>
      <w:r w:rsidR="002765E7" w:rsidRPr="002765E7">
        <w:rPr>
          <w:rFonts w:ascii="Cambria" w:eastAsia="Cambria" w:hAnsi="Cambria" w:cs="Cambria"/>
          <w:sz w:val="22"/>
          <w:szCs w:val="22"/>
        </w:rPr>
        <w:t>Geothermal Power Plant/</w:t>
      </w:r>
      <w:r w:rsidR="002765E7" w:rsidRPr="002765E7">
        <w:rPr>
          <w:rFonts w:ascii="Cambria" w:eastAsia="Cambria" w:hAnsi="Cambria" w:cs="Cambria"/>
          <w:i/>
          <w:iCs/>
          <w:sz w:val="22"/>
          <w:szCs w:val="22"/>
          <w:lang w:val="id-ID"/>
        </w:rPr>
        <w:t>Pembangkit Listrik Tenaga Panas Bumi</w:t>
      </w:r>
      <w:r w:rsidR="002765E7" w:rsidRPr="002765E7">
        <w:rPr>
          <w:rFonts w:ascii="Cambria" w:eastAsia="Cambria" w:hAnsi="Cambria" w:cs="Cambria"/>
          <w:sz w:val="22"/>
          <w:szCs w:val="22"/>
          <w:lang w:val="en-ID"/>
        </w:rPr>
        <w:t xml:space="preserve"> (</w:t>
      </w:r>
      <w:r w:rsidR="002765E7" w:rsidRPr="002765E7">
        <w:rPr>
          <w:rFonts w:ascii="Cambria" w:eastAsia="Cambria" w:hAnsi="Cambria" w:cs="Cambria"/>
          <w:sz w:val="22"/>
          <w:szCs w:val="22"/>
        </w:rPr>
        <w:t>PLTP)</w:t>
      </w:r>
      <w:r w:rsidRPr="005D550B">
        <w:rPr>
          <w:rFonts w:ascii="Cambria" w:eastAsia="Cambria" w:hAnsi="Cambria" w:cs="Cambria"/>
          <w:sz w:val="22"/>
          <w:szCs w:val="22"/>
        </w:rPr>
        <w:t>. The next goal is to examine the mechanisms of bureaucratic proceduralism, specifically investigating how formal administrative licensing and the instrumentalization of local key persons as gatekeepers are deliberately utilized to bypass the necessity of a substantive FPIC, thereby legally creating consent to enclose resources. Lastly, this study will evaluate the formation of environmental subjects, assessing how the severe threat of ecological and spatial exclusion triggered the emergence of new collective identities and transforms marginalized local communities into active political resistance movements against state geothermal projects.</w:t>
      </w:r>
    </w:p>
    <w:p w14:paraId="7D27A6BE" w14:textId="77777777" w:rsidR="00E06797" w:rsidRPr="005D550B" w:rsidRDefault="00E06797">
      <w:pPr>
        <w:pBdr>
          <w:top w:val="nil"/>
          <w:left w:val="nil"/>
          <w:bottom w:val="nil"/>
          <w:right w:val="nil"/>
          <w:between w:val="nil"/>
        </w:pBdr>
        <w:rPr>
          <w:rFonts w:ascii="Cambria" w:eastAsia="Cambria" w:hAnsi="Cambria" w:cs="Cambria"/>
          <w:sz w:val="22"/>
          <w:szCs w:val="22"/>
        </w:rPr>
      </w:pPr>
    </w:p>
    <w:p w14:paraId="7534B6E3" w14:textId="77777777" w:rsidR="00E06797" w:rsidRPr="005D550B" w:rsidRDefault="00A936EE">
      <w:pPr>
        <w:pBdr>
          <w:top w:val="nil"/>
          <w:left w:val="nil"/>
          <w:bottom w:val="nil"/>
          <w:right w:val="nil"/>
          <w:between w:val="nil"/>
        </w:pBdr>
        <w:rPr>
          <w:rFonts w:ascii="Cambria" w:eastAsia="Cambria" w:hAnsi="Cambria" w:cs="Cambria"/>
          <w:b/>
          <w:bCs/>
          <w:sz w:val="24"/>
          <w:szCs w:val="24"/>
        </w:rPr>
      </w:pPr>
      <w:r w:rsidRPr="005D550B">
        <w:rPr>
          <w:rFonts w:ascii="Cambria" w:eastAsia="Cambria" w:hAnsi="Cambria" w:cs="Cambria"/>
          <w:b/>
          <w:bCs/>
          <w:sz w:val="24"/>
          <w:szCs w:val="24"/>
        </w:rPr>
        <w:t>2. Methods</w:t>
      </w:r>
    </w:p>
    <w:p w14:paraId="02592A04" w14:textId="77777777" w:rsidR="00E06797" w:rsidRPr="005D550B" w:rsidRDefault="00E06797">
      <w:pPr>
        <w:pBdr>
          <w:top w:val="nil"/>
          <w:left w:val="nil"/>
          <w:bottom w:val="nil"/>
          <w:right w:val="nil"/>
          <w:between w:val="nil"/>
        </w:pBdr>
        <w:rPr>
          <w:rFonts w:ascii="Cambria" w:eastAsia="Cambria" w:hAnsi="Cambria" w:cs="Cambria"/>
          <w:b/>
          <w:bCs/>
          <w:sz w:val="22"/>
          <w:szCs w:val="22"/>
        </w:rPr>
      </w:pPr>
    </w:p>
    <w:p w14:paraId="36A72DBC" w14:textId="3B0473E3" w:rsidR="007671C4" w:rsidRPr="005D550B" w:rsidRDefault="007671C4">
      <w:pPr>
        <w:ind w:firstLine="425"/>
        <w:rPr>
          <w:rFonts w:ascii="Cambria" w:eastAsia="Cambria" w:hAnsi="Cambria" w:cs="Cambria"/>
          <w:sz w:val="22"/>
          <w:szCs w:val="22"/>
        </w:rPr>
      </w:pPr>
      <w:r w:rsidRPr="005D550B">
        <w:rPr>
          <w:rFonts w:ascii="Cambria" w:eastAsia="Cambria" w:hAnsi="Cambria" w:cs="Cambria"/>
          <w:sz w:val="22"/>
          <w:szCs w:val="22"/>
        </w:rPr>
        <w:t xml:space="preserve">Recognizing the complexity at hand, and to operationalize theoretical framework of Political Ecology regarding conflict surrounding geothermal developments in Flores, this study employs a desk-based mixed-methods research approach. Due to geographical constraints, a reliance on secondary data synthesis is utilized to construct a comprehensive analysis. This desk-based approach could ensure in-depth analysis even without direct observation through diverse set of publicly available data such as spatial, media reports, and civil society reports. A purely quantitative paradigm would only replicate the technocratic approach utilized by the policy maker. It is deemed fundamentally insufficient to capture the complex dynamics, state coercion, and energy </w:t>
      </w:r>
      <w:r w:rsidR="00461386" w:rsidRPr="005D550B">
        <w:rPr>
          <w:rFonts w:ascii="Cambria" w:eastAsia="Cambria" w:hAnsi="Cambria" w:cs="Cambria"/>
          <w:sz w:val="22"/>
          <w:szCs w:val="22"/>
        </w:rPr>
        <w:t>transition-based</w:t>
      </w:r>
      <w:r w:rsidR="002765E7" w:rsidRPr="005D550B">
        <w:rPr>
          <w:rFonts w:ascii="Cambria" w:eastAsia="Cambria" w:hAnsi="Cambria" w:cs="Cambria"/>
          <w:sz w:val="22"/>
          <w:szCs w:val="22"/>
        </w:rPr>
        <w:t xml:space="preserve"> injustices</w:t>
      </w:r>
      <w:r w:rsidRPr="005D550B">
        <w:rPr>
          <w:rFonts w:ascii="Cambria" w:eastAsia="Cambria" w:hAnsi="Cambria" w:cs="Cambria"/>
          <w:sz w:val="22"/>
          <w:szCs w:val="22"/>
        </w:rPr>
        <w:t xml:space="preserve"> occurring on the island. Conversely, an exclusively qualitative approach might fail to capture the biophysical severity of resource enclosure, especially within the context of semi-arid Flores. Based on this rationale, integrating spatial data as quantitative method and critical sociological and media analysis is considered imperative to adequately map the socio-environmental challenges of geothermal development in Flores. The combination of these two approaches is utilized specifically to demonstrate the direct interaction between biophysical realities of resource enclosure and socio-political dynamics within the community.</w:t>
      </w:r>
    </w:p>
    <w:p w14:paraId="7EE370E1" w14:textId="4E692DA1" w:rsidR="007671C4" w:rsidRPr="005D550B" w:rsidRDefault="007671C4">
      <w:pPr>
        <w:ind w:firstLine="425"/>
        <w:rPr>
          <w:rFonts w:ascii="Cambria" w:eastAsia="Cambria" w:hAnsi="Cambria" w:cs="Cambria"/>
          <w:color w:val="000000"/>
          <w:sz w:val="22"/>
          <w:szCs w:val="22"/>
        </w:rPr>
      </w:pPr>
      <w:r w:rsidRPr="005D550B">
        <w:rPr>
          <w:rFonts w:ascii="Cambria" w:eastAsia="Cambria" w:hAnsi="Cambria" w:cs="Cambria"/>
          <w:color w:val="000000"/>
          <w:sz w:val="22"/>
          <w:szCs w:val="22"/>
        </w:rPr>
        <w:t xml:space="preserve">The quantitative methods will be used to visualize the potential of the resource conflict. It will employ spatial analysis to map the spatial overlap between existing community livelihoods and the planned </w:t>
      </w:r>
      <w:r w:rsidR="002765E7" w:rsidRPr="002765E7">
        <w:rPr>
          <w:rFonts w:ascii="Cambria" w:eastAsia="Cambria" w:hAnsi="Cambria" w:cs="Cambria"/>
          <w:sz w:val="22"/>
          <w:szCs w:val="22"/>
          <w:lang w:val="en-ID"/>
        </w:rPr>
        <w:t>Geothermal Working Areas/</w:t>
      </w:r>
      <w:r w:rsidR="002765E7" w:rsidRPr="002765E7">
        <w:rPr>
          <w:rFonts w:ascii="Cambria" w:eastAsia="Cambria" w:hAnsi="Cambria" w:cs="Cambria"/>
          <w:i/>
          <w:iCs/>
          <w:sz w:val="22"/>
          <w:szCs w:val="22"/>
          <w:lang w:val="en-ID"/>
        </w:rPr>
        <w:t xml:space="preserve">Wilayah </w:t>
      </w:r>
      <w:proofErr w:type="spellStart"/>
      <w:r w:rsidR="002765E7" w:rsidRPr="002765E7">
        <w:rPr>
          <w:rFonts w:ascii="Cambria" w:eastAsia="Cambria" w:hAnsi="Cambria" w:cs="Cambria"/>
          <w:i/>
          <w:iCs/>
          <w:sz w:val="22"/>
          <w:szCs w:val="22"/>
          <w:lang w:val="en-ID"/>
        </w:rPr>
        <w:t>Kerja</w:t>
      </w:r>
      <w:proofErr w:type="spellEnd"/>
      <w:r w:rsidR="002765E7" w:rsidRPr="002765E7">
        <w:rPr>
          <w:rFonts w:ascii="Cambria" w:eastAsia="Cambria" w:hAnsi="Cambria" w:cs="Cambria"/>
          <w:i/>
          <w:iCs/>
          <w:sz w:val="22"/>
          <w:szCs w:val="22"/>
          <w:lang w:val="en-ID"/>
        </w:rPr>
        <w:t xml:space="preserve"> Panas Bumi</w:t>
      </w:r>
      <w:r w:rsidR="002765E7" w:rsidRPr="002765E7">
        <w:rPr>
          <w:rFonts w:ascii="Cambria" w:eastAsia="Cambria" w:hAnsi="Cambria" w:cs="Cambria"/>
          <w:sz w:val="22"/>
          <w:szCs w:val="22"/>
          <w:lang w:val="en-ID"/>
        </w:rPr>
        <w:t xml:space="preserve"> (WKPs) </w:t>
      </w:r>
      <w:r w:rsidRPr="005D550B">
        <w:rPr>
          <w:rFonts w:ascii="Cambria" w:eastAsia="Cambria" w:hAnsi="Cambria" w:cs="Cambria"/>
          <w:color w:val="000000"/>
          <w:sz w:val="22"/>
          <w:szCs w:val="22"/>
        </w:rPr>
        <w:t xml:space="preserve">designated by the government. These community dimensions include customary land boundaries, economical activities, in particular agricultural ones, and residential areas. Additionally, hydrological mapping will be included to identify which watersheds will be utilized and inevitably affected by the </w:t>
      </w:r>
      <w:r w:rsidR="002765E7" w:rsidRPr="002765E7">
        <w:rPr>
          <w:rFonts w:ascii="Cambria" w:eastAsia="Cambria" w:hAnsi="Cambria" w:cs="Cambria"/>
          <w:color w:val="000000"/>
          <w:sz w:val="22"/>
          <w:szCs w:val="22"/>
        </w:rPr>
        <w:t>Geothermal Power Plant/</w:t>
      </w:r>
      <w:r w:rsidR="002765E7" w:rsidRPr="002765E7">
        <w:rPr>
          <w:rFonts w:ascii="Cambria" w:eastAsia="Cambria" w:hAnsi="Cambria" w:cs="Cambria"/>
          <w:i/>
          <w:iCs/>
          <w:color w:val="000000"/>
          <w:sz w:val="22"/>
          <w:szCs w:val="22"/>
          <w:lang w:val="id-ID"/>
        </w:rPr>
        <w:t xml:space="preserve">Pembangkit Listrik Tenaga </w:t>
      </w:r>
      <w:r w:rsidR="002765E7" w:rsidRPr="002765E7">
        <w:rPr>
          <w:rFonts w:ascii="Cambria" w:eastAsia="Cambria" w:hAnsi="Cambria" w:cs="Cambria"/>
          <w:i/>
          <w:iCs/>
          <w:color w:val="000000"/>
          <w:sz w:val="22"/>
          <w:szCs w:val="22"/>
          <w:lang w:val="id-ID"/>
        </w:rPr>
        <w:lastRenderedPageBreak/>
        <w:t>Panas Bumi</w:t>
      </w:r>
      <w:r w:rsidR="002765E7" w:rsidRPr="002765E7">
        <w:rPr>
          <w:rFonts w:ascii="Cambria" w:eastAsia="Cambria" w:hAnsi="Cambria" w:cs="Cambria"/>
          <w:color w:val="000000"/>
          <w:sz w:val="22"/>
          <w:szCs w:val="22"/>
          <w:lang w:val="en-ID"/>
        </w:rPr>
        <w:t xml:space="preserve"> (</w:t>
      </w:r>
      <w:r w:rsidR="002765E7" w:rsidRPr="002765E7">
        <w:rPr>
          <w:rFonts w:ascii="Cambria" w:eastAsia="Cambria" w:hAnsi="Cambria" w:cs="Cambria"/>
          <w:color w:val="000000"/>
          <w:sz w:val="22"/>
          <w:szCs w:val="22"/>
        </w:rPr>
        <w:t>PLTP)</w:t>
      </w:r>
      <w:r w:rsidRPr="005D550B">
        <w:rPr>
          <w:rFonts w:ascii="Cambria" w:eastAsia="Cambria" w:hAnsi="Cambria" w:cs="Cambria"/>
          <w:color w:val="000000"/>
          <w:sz w:val="22"/>
          <w:szCs w:val="22"/>
        </w:rPr>
        <w:t xml:space="preserve"> activity. This factor is crucial to account for the agricultural dependent economy of Flores inhabitants and the semi-arid climate. The spatial and hydrological results will be used to project the severity of the impending water resource-based conflict.</w:t>
      </w:r>
    </w:p>
    <w:p w14:paraId="6D0D0A67" w14:textId="1420264A" w:rsidR="007671C4" w:rsidRPr="005D550B" w:rsidRDefault="007671C4">
      <w:pPr>
        <w:ind w:firstLine="425"/>
        <w:rPr>
          <w:rFonts w:ascii="Cambria" w:eastAsia="Cambria" w:hAnsi="Cambria" w:cs="Cambria"/>
          <w:color w:val="000000"/>
          <w:sz w:val="22"/>
          <w:szCs w:val="22"/>
        </w:rPr>
      </w:pPr>
      <w:r w:rsidRPr="005D550B">
        <w:rPr>
          <w:rFonts w:ascii="Cambria" w:eastAsia="Cambria" w:hAnsi="Cambria" w:cs="Cambria"/>
          <w:color w:val="000000"/>
          <w:sz w:val="22"/>
          <w:szCs w:val="22"/>
        </w:rPr>
        <w:t xml:space="preserve">To avoid the reductionist mistake done by the government, this “numerical” approach will be paired with qualitative approach. This approach will be used specifically to </w:t>
      </w:r>
      <w:proofErr w:type="spellStart"/>
      <w:r w:rsidRPr="005D550B">
        <w:rPr>
          <w:rFonts w:ascii="Cambria" w:eastAsia="Cambria" w:hAnsi="Cambria" w:cs="Cambria"/>
          <w:color w:val="000000"/>
          <w:sz w:val="22"/>
          <w:szCs w:val="22"/>
        </w:rPr>
        <w:t>analyse</w:t>
      </w:r>
      <w:proofErr w:type="spellEnd"/>
      <w:r w:rsidRPr="005D550B">
        <w:rPr>
          <w:rFonts w:ascii="Cambria" w:eastAsia="Cambria" w:hAnsi="Cambria" w:cs="Cambria"/>
          <w:color w:val="000000"/>
          <w:sz w:val="22"/>
          <w:szCs w:val="22"/>
        </w:rPr>
        <w:t xml:space="preserve"> the legal exclusion institutionalized by the state through regulation and proceduralism. Through publicly available documents, the research aims to deconstruct the narrative of </w:t>
      </w:r>
      <w:r w:rsidR="002765E7" w:rsidRPr="002765E7">
        <w:rPr>
          <w:rFonts w:ascii="Cambria" w:eastAsia="Cambria" w:hAnsi="Cambria" w:cs="Cambria"/>
          <w:color w:val="000000"/>
          <w:sz w:val="22"/>
          <w:szCs w:val="22"/>
        </w:rPr>
        <w:t>National Strategic Projects/</w:t>
      </w:r>
      <w:proofErr w:type="spellStart"/>
      <w:r w:rsidR="002765E7" w:rsidRPr="002765E7">
        <w:rPr>
          <w:rFonts w:ascii="Cambria" w:eastAsia="Cambria" w:hAnsi="Cambria" w:cs="Cambria"/>
          <w:i/>
          <w:iCs/>
          <w:color w:val="000000"/>
          <w:sz w:val="22"/>
          <w:szCs w:val="22"/>
        </w:rPr>
        <w:t>Proyek</w:t>
      </w:r>
      <w:proofErr w:type="spellEnd"/>
      <w:r w:rsidR="002765E7" w:rsidRPr="002765E7">
        <w:rPr>
          <w:rFonts w:ascii="Cambria" w:eastAsia="Cambria" w:hAnsi="Cambria" w:cs="Cambria"/>
          <w:i/>
          <w:iCs/>
          <w:color w:val="000000"/>
          <w:sz w:val="22"/>
          <w:szCs w:val="22"/>
        </w:rPr>
        <w:t xml:space="preserve"> </w:t>
      </w:r>
      <w:proofErr w:type="spellStart"/>
      <w:r w:rsidR="002765E7" w:rsidRPr="002765E7">
        <w:rPr>
          <w:rFonts w:ascii="Cambria" w:eastAsia="Cambria" w:hAnsi="Cambria" w:cs="Cambria"/>
          <w:i/>
          <w:iCs/>
          <w:color w:val="000000"/>
          <w:sz w:val="22"/>
          <w:szCs w:val="22"/>
        </w:rPr>
        <w:t>Strategis</w:t>
      </w:r>
      <w:proofErr w:type="spellEnd"/>
      <w:r w:rsidR="002765E7" w:rsidRPr="002765E7">
        <w:rPr>
          <w:rFonts w:ascii="Cambria" w:eastAsia="Cambria" w:hAnsi="Cambria" w:cs="Cambria"/>
          <w:i/>
          <w:iCs/>
          <w:color w:val="000000"/>
          <w:sz w:val="22"/>
          <w:szCs w:val="22"/>
        </w:rPr>
        <w:t xml:space="preserve"> Nasional</w:t>
      </w:r>
      <w:r w:rsidR="002765E7" w:rsidRPr="002765E7">
        <w:rPr>
          <w:rFonts w:ascii="Cambria" w:eastAsia="Cambria" w:hAnsi="Cambria" w:cs="Cambria"/>
          <w:color w:val="000000"/>
          <w:sz w:val="22"/>
          <w:szCs w:val="22"/>
        </w:rPr>
        <w:t xml:space="preserve"> (PSN) </w:t>
      </w:r>
      <w:r w:rsidRPr="005D550B">
        <w:rPr>
          <w:rFonts w:ascii="Cambria" w:eastAsia="Cambria" w:hAnsi="Cambria" w:cs="Cambria"/>
          <w:color w:val="000000"/>
          <w:sz w:val="22"/>
          <w:szCs w:val="22"/>
        </w:rPr>
        <w:t xml:space="preserve">and compare it with the actual implementation on the ground. Crucially, this phase investigates the utilization of state coercive apparatus as a tool to enforce spatial enclosure and suppress the dissent in Flores. Furthermore, it analyses documented accounts of horizontal conflict engineering on how the state and corporations instrumentalize local elites as key persons to manufacture consent, splitting the community into pro and anti-geothermal factions. The synthesis of these two methods allows this desk-based study to comprehensively answer the analytical objectives. By intersecting the exact biophysical threat of water scarcity mapped in the first phase, with the qualitative reality of state coercion and procedural manipulation </w:t>
      </w:r>
      <w:proofErr w:type="spellStart"/>
      <w:r w:rsidRPr="005D550B">
        <w:rPr>
          <w:rFonts w:ascii="Cambria" w:eastAsia="Cambria" w:hAnsi="Cambria" w:cs="Cambria"/>
          <w:color w:val="000000"/>
          <w:sz w:val="22"/>
          <w:szCs w:val="22"/>
        </w:rPr>
        <w:t>analysed</w:t>
      </w:r>
      <w:proofErr w:type="spellEnd"/>
      <w:r w:rsidRPr="005D550B">
        <w:rPr>
          <w:rFonts w:ascii="Cambria" w:eastAsia="Cambria" w:hAnsi="Cambria" w:cs="Cambria"/>
          <w:color w:val="000000"/>
          <w:sz w:val="22"/>
          <w:szCs w:val="22"/>
        </w:rPr>
        <w:t xml:space="preserve"> in the latter phase, this research design effectively captures the problem within Indonesia’s renewable yet unjust energy transition.</w:t>
      </w:r>
    </w:p>
    <w:p w14:paraId="6318EC81" w14:textId="06CB67EE" w:rsidR="007671C4" w:rsidRPr="005D550B" w:rsidRDefault="007671C4">
      <w:pPr>
        <w:ind w:firstLine="425"/>
        <w:rPr>
          <w:rFonts w:ascii="Cambria" w:eastAsia="Cambria" w:hAnsi="Cambria" w:cs="Cambria"/>
          <w:color w:val="000000"/>
          <w:sz w:val="22"/>
          <w:szCs w:val="22"/>
        </w:rPr>
      </w:pPr>
      <w:r w:rsidRPr="005D550B">
        <w:rPr>
          <w:rFonts w:ascii="Cambria" w:eastAsia="Cambria" w:hAnsi="Cambria" w:cs="Cambria"/>
          <w:color w:val="000000"/>
          <w:sz w:val="22"/>
          <w:szCs w:val="22"/>
        </w:rPr>
        <w:t xml:space="preserve">Due to the desk-based nature of this research, data collection relies on the systematic compilation and purposive sampling of validated and publicly available data sources. The data acquisition process is structurally divided into two main parts: quantitative spatial data and qualitative socio-political document collection. For the quantitative spatial component, the research requires specific geospatial datasets to map the biophysical realities and resource enclosures. Shapefiles and geospatial parameters concerning the boundaries of the designated </w:t>
      </w:r>
      <w:r w:rsidR="002765E7" w:rsidRPr="002765E7">
        <w:rPr>
          <w:rFonts w:ascii="Cambria" w:eastAsia="Cambria" w:hAnsi="Cambria" w:cs="Cambria"/>
          <w:sz w:val="22"/>
          <w:szCs w:val="22"/>
          <w:lang w:val="en-ID"/>
        </w:rPr>
        <w:t>Geothermal Working Areas/</w:t>
      </w:r>
      <w:r w:rsidR="002765E7" w:rsidRPr="002765E7">
        <w:rPr>
          <w:rFonts w:ascii="Cambria" w:eastAsia="Cambria" w:hAnsi="Cambria" w:cs="Cambria"/>
          <w:i/>
          <w:iCs/>
          <w:sz w:val="22"/>
          <w:szCs w:val="22"/>
          <w:lang w:val="en-ID"/>
        </w:rPr>
        <w:t xml:space="preserve">Wilayah </w:t>
      </w:r>
      <w:proofErr w:type="spellStart"/>
      <w:r w:rsidR="002765E7" w:rsidRPr="002765E7">
        <w:rPr>
          <w:rFonts w:ascii="Cambria" w:eastAsia="Cambria" w:hAnsi="Cambria" w:cs="Cambria"/>
          <w:i/>
          <w:iCs/>
          <w:sz w:val="22"/>
          <w:szCs w:val="22"/>
          <w:lang w:val="en-ID"/>
        </w:rPr>
        <w:t>Kerja</w:t>
      </w:r>
      <w:proofErr w:type="spellEnd"/>
      <w:r w:rsidR="002765E7" w:rsidRPr="002765E7">
        <w:rPr>
          <w:rFonts w:ascii="Cambria" w:eastAsia="Cambria" w:hAnsi="Cambria" w:cs="Cambria"/>
          <w:i/>
          <w:iCs/>
          <w:sz w:val="22"/>
          <w:szCs w:val="22"/>
          <w:lang w:val="en-ID"/>
        </w:rPr>
        <w:t xml:space="preserve"> Panas Bumi</w:t>
      </w:r>
      <w:r w:rsidR="002765E7" w:rsidRPr="002765E7">
        <w:rPr>
          <w:rFonts w:ascii="Cambria" w:eastAsia="Cambria" w:hAnsi="Cambria" w:cs="Cambria"/>
          <w:sz w:val="22"/>
          <w:szCs w:val="22"/>
          <w:lang w:val="en-ID"/>
        </w:rPr>
        <w:t xml:space="preserve"> (WKPs) </w:t>
      </w:r>
      <w:r w:rsidRPr="005D550B">
        <w:rPr>
          <w:rFonts w:ascii="Cambria" w:eastAsia="Cambria" w:hAnsi="Cambria" w:cs="Cambria"/>
          <w:color w:val="000000"/>
          <w:sz w:val="22"/>
          <w:szCs w:val="22"/>
        </w:rPr>
        <w:t xml:space="preserve">are retrieved from the official </w:t>
      </w:r>
      <w:proofErr w:type="spellStart"/>
      <w:r w:rsidRPr="005D550B">
        <w:rPr>
          <w:rFonts w:ascii="Cambria" w:eastAsia="Cambria" w:hAnsi="Cambria" w:cs="Cambria"/>
          <w:color w:val="000000"/>
          <w:sz w:val="22"/>
          <w:szCs w:val="22"/>
        </w:rPr>
        <w:t>WebGIS</w:t>
      </w:r>
      <w:proofErr w:type="spellEnd"/>
      <w:r w:rsidRPr="005D550B">
        <w:rPr>
          <w:rFonts w:ascii="Cambria" w:eastAsia="Cambria" w:hAnsi="Cambria" w:cs="Cambria"/>
          <w:color w:val="000000"/>
          <w:sz w:val="22"/>
          <w:szCs w:val="22"/>
        </w:rPr>
        <w:t xml:space="preserve"> portal of ESDM (ESDM One Map). To identify the intersection between these corporate concessions and community livelihoods, base maps outlining administrative boundaries, residential zones, and agricultural lands are sourced from the Geospatial Information Agency. Furthermore, to map the customary land claims which are often unrecognized by formal state maps, the study utilizes indicative customary territory maps published by the </w:t>
      </w:r>
      <w:r w:rsidR="00E9016C">
        <w:rPr>
          <w:rFonts w:ascii="Cambria" w:eastAsia="Cambria" w:hAnsi="Cambria" w:cs="Cambria"/>
          <w:color w:val="000000"/>
          <w:sz w:val="22"/>
          <w:szCs w:val="22"/>
        </w:rPr>
        <w:t>A</w:t>
      </w:r>
      <w:r w:rsidRPr="005D550B">
        <w:rPr>
          <w:rFonts w:ascii="Cambria" w:eastAsia="Cambria" w:hAnsi="Cambria" w:cs="Cambria"/>
          <w:color w:val="000000"/>
          <w:sz w:val="22"/>
          <w:szCs w:val="22"/>
        </w:rPr>
        <w:t>ncestral Domain Registration Agency</w:t>
      </w:r>
      <w:r w:rsidR="00E9016C">
        <w:rPr>
          <w:rFonts w:ascii="Cambria" w:eastAsia="Cambria" w:hAnsi="Cambria" w:cs="Cambria"/>
          <w:color w:val="000000"/>
          <w:sz w:val="22"/>
          <w:szCs w:val="22"/>
        </w:rPr>
        <w:t>/</w:t>
      </w:r>
      <w:r w:rsidR="00E9016C" w:rsidRPr="00E9016C">
        <w:rPr>
          <w:rFonts w:ascii="Cambria" w:eastAsia="Cambria" w:hAnsi="Cambria" w:cs="Cambria"/>
          <w:i/>
          <w:iCs/>
          <w:color w:val="000000"/>
          <w:sz w:val="22"/>
          <w:szCs w:val="22"/>
        </w:rPr>
        <w:t xml:space="preserve">Badan </w:t>
      </w:r>
      <w:proofErr w:type="spellStart"/>
      <w:r w:rsidR="00E9016C" w:rsidRPr="00E9016C">
        <w:rPr>
          <w:rFonts w:ascii="Cambria" w:eastAsia="Cambria" w:hAnsi="Cambria" w:cs="Cambria"/>
          <w:i/>
          <w:iCs/>
          <w:color w:val="000000"/>
          <w:sz w:val="22"/>
          <w:szCs w:val="22"/>
        </w:rPr>
        <w:t>Registrasi</w:t>
      </w:r>
      <w:proofErr w:type="spellEnd"/>
      <w:r w:rsidR="00E9016C" w:rsidRPr="00E9016C">
        <w:rPr>
          <w:rFonts w:ascii="Cambria" w:eastAsia="Cambria" w:hAnsi="Cambria" w:cs="Cambria"/>
          <w:i/>
          <w:iCs/>
          <w:color w:val="000000"/>
          <w:sz w:val="22"/>
          <w:szCs w:val="22"/>
        </w:rPr>
        <w:t xml:space="preserve"> Wilayah </w:t>
      </w:r>
      <w:proofErr w:type="spellStart"/>
      <w:r w:rsidR="00E9016C" w:rsidRPr="00E9016C">
        <w:rPr>
          <w:rFonts w:ascii="Cambria" w:eastAsia="Cambria" w:hAnsi="Cambria" w:cs="Cambria"/>
          <w:i/>
          <w:iCs/>
          <w:color w:val="000000"/>
          <w:sz w:val="22"/>
          <w:szCs w:val="22"/>
        </w:rPr>
        <w:t>Adat</w:t>
      </w:r>
      <w:proofErr w:type="spellEnd"/>
      <w:r w:rsidR="00E9016C">
        <w:rPr>
          <w:rFonts w:ascii="Cambria" w:eastAsia="Cambria" w:hAnsi="Cambria" w:cs="Cambria"/>
          <w:color w:val="000000"/>
          <w:sz w:val="22"/>
          <w:szCs w:val="22"/>
        </w:rPr>
        <w:t xml:space="preserve"> (</w:t>
      </w:r>
      <w:r w:rsidRPr="005D550B">
        <w:rPr>
          <w:rFonts w:ascii="Cambria" w:eastAsia="Cambria" w:hAnsi="Cambria" w:cs="Cambria"/>
          <w:color w:val="000000"/>
          <w:sz w:val="22"/>
          <w:szCs w:val="22"/>
        </w:rPr>
        <w:t>BRWA). Finally, hydrological mapping relies on Digital Elevation Model (DEM) data to delineate watershed boundaries and project the biophysical vulnerability of the semi-arid landscape.</w:t>
      </w:r>
    </w:p>
    <w:p w14:paraId="07375905" w14:textId="13A123C4" w:rsidR="007671C4" w:rsidRPr="005D550B" w:rsidRDefault="007671C4">
      <w:pPr>
        <w:ind w:firstLine="425"/>
        <w:rPr>
          <w:rFonts w:ascii="Cambria" w:eastAsia="Cambria" w:hAnsi="Cambria" w:cs="Cambria"/>
          <w:color w:val="000000"/>
          <w:sz w:val="22"/>
          <w:szCs w:val="22"/>
        </w:rPr>
      </w:pPr>
      <w:r w:rsidRPr="005D550B">
        <w:rPr>
          <w:rFonts w:ascii="Cambria" w:eastAsia="Cambria" w:hAnsi="Cambria" w:cs="Cambria"/>
          <w:color w:val="000000"/>
          <w:sz w:val="22"/>
          <w:szCs w:val="22"/>
        </w:rPr>
        <w:t xml:space="preserve">Parallel to the spatial data, the qualitative component includes a comprehensive and qualified compilation of documents, reports, and media articles to capture the proceduralism and state coercion aspects. To </w:t>
      </w:r>
      <w:proofErr w:type="spellStart"/>
      <w:r w:rsidRPr="005D550B">
        <w:rPr>
          <w:rFonts w:ascii="Cambria" w:eastAsia="Cambria" w:hAnsi="Cambria" w:cs="Cambria"/>
          <w:color w:val="000000"/>
          <w:sz w:val="22"/>
          <w:szCs w:val="22"/>
        </w:rPr>
        <w:t>analyse</w:t>
      </w:r>
      <w:proofErr w:type="spellEnd"/>
      <w:r w:rsidRPr="005D550B">
        <w:rPr>
          <w:rFonts w:ascii="Cambria" w:eastAsia="Cambria" w:hAnsi="Cambria" w:cs="Cambria"/>
          <w:color w:val="000000"/>
          <w:sz w:val="22"/>
          <w:szCs w:val="22"/>
        </w:rPr>
        <w:t xml:space="preserve"> the hegemonic narrative of the state, official regulatory documents, </w:t>
      </w:r>
      <w:r w:rsidR="008D007A" w:rsidRPr="005D550B">
        <w:rPr>
          <w:rFonts w:ascii="Cambria" w:eastAsia="Cambria" w:hAnsi="Cambria" w:cs="Cambria"/>
          <w:sz w:val="22"/>
          <w:szCs w:val="22"/>
        </w:rPr>
        <w:t>National Strategic Projects</w:t>
      </w:r>
      <w:r w:rsidR="008D007A">
        <w:rPr>
          <w:rFonts w:ascii="Cambria" w:eastAsia="Cambria" w:hAnsi="Cambria" w:cs="Cambria"/>
          <w:sz w:val="22"/>
          <w:szCs w:val="22"/>
        </w:rPr>
        <w:t>/</w:t>
      </w:r>
      <w:proofErr w:type="spellStart"/>
      <w:r w:rsidR="008D007A" w:rsidRPr="002765E7">
        <w:rPr>
          <w:rFonts w:ascii="Cambria" w:eastAsia="Cambria" w:hAnsi="Cambria" w:cs="Cambria"/>
          <w:i/>
          <w:iCs/>
          <w:sz w:val="22"/>
          <w:szCs w:val="22"/>
        </w:rPr>
        <w:t>Proyek</w:t>
      </w:r>
      <w:proofErr w:type="spellEnd"/>
      <w:r w:rsidR="008D007A" w:rsidRPr="002765E7">
        <w:rPr>
          <w:rFonts w:ascii="Cambria" w:eastAsia="Cambria" w:hAnsi="Cambria" w:cs="Cambria"/>
          <w:i/>
          <w:iCs/>
          <w:sz w:val="22"/>
          <w:szCs w:val="22"/>
        </w:rPr>
        <w:t xml:space="preserve"> </w:t>
      </w:r>
      <w:proofErr w:type="spellStart"/>
      <w:r w:rsidR="008D007A" w:rsidRPr="002765E7">
        <w:rPr>
          <w:rFonts w:ascii="Cambria" w:eastAsia="Cambria" w:hAnsi="Cambria" w:cs="Cambria"/>
          <w:i/>
          <w:iCs/>
          <w:sz w:val="22"/>
          <w:szCs w:val="22"/>
        </w:rPr>
        <w:t>Strategis</w:t>
      </w:r>
      <w:proofErr w:type="spellEnd"/>
      <w:r w:rsidR="008D007A" w:rsidRPr="002765E7">
        <w:rPr>
          <w:rFonts w:ascii="Cambria" w:eastAsia="Cambria" w:hAnsi="Cambria" w:cs="Cambria"/>
          <w:i/>
          <w:iCs/>
          <w:sz w:val="22"/>
          <w:szCs w:val="22"/>
        </w:rPr>
        <w:t xml:space="preserve"> Nasional</w:t>
      </w:r>
      <w:r w:rsidR="008D007A">
        <w:rPr>
          <w:rFonts w:ascii="Cambria" w:eastAsia="Cambria" w:hAnsi="Cambria" w:cs="Cambria"/>
          <w:sz w:val="22"/>
          <w:szCs w:val="22"/>
        </w:rPr>
        <w:t xml:space="preserve"> (PSN)</w:t>
      </w:r>
      <w:r w:rsidR="008D007A" w:rsidRPr="005D550B">
        <w:rPr>
          <w:rFonts w:ascii="Cambria" w:eastAsia="Cambria" w:hAnsi="Cambria" w:cs="Cambria"/>
          <w:sz w:val="22"/>
          <w:szCs w:val="22"/>
        </w:rPr>
        <w:t xml:space="preserve"> </w:t>
      </w:r>
      <w:r w:rsidRPr="005D550B">
        <w:rPr>
          <w:rFonts w:ascii="Cambria" w:eastAsia="Cambria" w:hAnsi="Cambria" w:cs="Cambria"/>
          <w:color w:val="000000"/>
          <w:sz w:val="22"/>
          <w:szCs w:val="22"/>
        </w:rPr>
        <w:t xml:space="preserve">decrees, related regulation, and official press releases from the local government and geothermal corporations, are systematically collected. Conversely, to capture the </w:t>
      </w:r>
      <w:r w:rsidR="00AA57CE" w:rsidRPr="005D550B">
        <w:rPr>
          <w:rFonts w:ascii="Cambria" w:eastAsia="Cambria" w:hAnsi="Cambria" w:cs="Cambria"/>
          <w:color w:val="000000"/>
          <w:sz w:val="22"/>
          <w:szCs w:val="22"/>
        </w:rPr>
        <w:t>counternarratives</w:t>
      </w:r>
      <w:r w:rsidRPr="005D550B">
        <w:rPr>
          <w:rFonts w:ascii="Cambria" w:eastAsia="Cambria" w:hAnsi="Cambria" w:cs="Cambria"/>
          <w:color w:val="000000"/>
          <w:sz w:val="22"/>
          <w:szCs w:val="22"/>
        </w:rPr>
        <w:t xml:space="preserve"> and the realities of marginalized communities, the study relies on investigative reports and advocacy publications from diverse civil society organizations and environmental </w:t>
      </w:r>
      <w:r w:rsidR="000778A3">
        <w:rPr>
          <w:rFonts w:ascii="Cambria" w:eastAsia="Cambria" w:hAnsi="Cambria" w:cs="Cambria"/>
          <w:color w:val="000000"/>
          <w:sz w:val="22"/>
          <w:szCs w:val="22"/>
        </w:rPr>
        <w:t>Non-</w:t>
      </w:r>
      <w:r w:rsidR="002B4BB0">
        <w:rPr>
          <w:rFonts w:ascii="Cambria" w:eastAsia="Cambria" w:hAnsi="Cambria" w:cs="Cambria"/>
          <w:color w:val="000000"/>
          <w:sz w:val="22"/>
          <w:szCs w:val="22"/>
        </w:rPr>
        <w:t>G</w:t>
      </w:r>
      <w:r w:rsidR="000778A3">
        <w:rPr>
          <w:rFonts w:ascii="Cambria" w:eastAsia="Cambria" w:hAnsi="Cambria" w:cs="Cambria"/>
          <w:color w:val="000000"/>
          <w:sz w:val="22"/>
          <w:szCs w:val="22"/>
        </w:rPr>
        <w:t>overnmental Organization (</w:t>
      </w:r>
      <w:r w:rsidRPr="005D550B">
        <w:rPr>
          <w:rFonts w:ascii="Cambria" w:eastAsia="Cambria" w:hAnsi="Cambria" w:cs="Cambria"/>
          <w:color w:val="000000"/>
          <w:sz w:val="22"/>
          <w:szCs w:val="22"/>
        </w:rPr>
        <w:t>NGO</w:t>
      </w:r>
      <w:r w:rsidR="002B4BB0">
        <w:rPr>
          <w:rFonts w:ascii="Cambria" w:eastAsia="Cambria" w:hAnsi="Cambria" w:cs="Cambria"/>
          <w:color w:val="000000"/>
          <w:sz w:val="22"/>
          <w:szCs w:val="22"/>
        </w:rPr>
        <w:t xml:space="preserve">) </w:t>
      </w:r>
      <w:r w:rsidRPr="005D550B">
        <w:rPr>
          <w:rFonts w:ascii="Cambria" w:eastAsia="Cambria" w:hAnsi="Cambria" w:cs="Cambria"/>
          <w:color w:val="000000"/>
          <w:sz w:val="22"/>
          <w:szCs w:val="22"/>
        </w:rPr>
        <w:t>operating in East Nusa Tenggara, such as WALHI NTT, JATAM, and other related NGOs. To ensure the relevance and currency of the socio-political dynamics, a purposive timeframe is established. The document retrieval process is focused on publications and media reports generated between 2017 and 2026, aligning with the period from following Flores' designation as a Geothermal Island. Media data is harvested using targeted keyword searches (e.g., "</w:t>
      </w:r>
      <w:proofErr w:type="spellStart"/>
      <w:r w:rsidRPr="005D550B">
        <w:rPr>
          <w:rFonts w:ascii="Cambria" w:eastAsia="Cambria" w:hAnsi="Cambria" w:cs="Cambria"/>
          <w:color w:val="000000"/>
          <w:sz w:val="22"/>
          <w:szCs w:val="22"/>
        </w:rPr>
        <w:t>konflik</w:t>
      </w:r>
      <w:proofErr w:type="spellEnd"/>
      <w:r w:rsidRPr="005D550B">
        <w:rPr>
          <w:rFonts w:ascii="Cambria" w:eastAsia="Cambria" w:hAnsi="Cambria" w:cs="Cambria"/>
          <w:color w:val="000000"/>
          <w:sz w:val="22"/>
          <w:szCs w:val="22"/>
        </w:rPr>
        <w:t xml:space="preserve"> panas </w:t>
      </w:r>
      <w:proofErr w:type="spellStart"/>
      <w:r w:rsidRPr="005D550B">
        <w:rPr>
          <w:rFonts w:ascii="Cambria" w:eastAsia="Cambria" w:hAnsi="Cambria" w:cs="Cambria"/>
          <w:color w:val="000000"/>
          <w:sz w:val="22"/>
          <w:szCs w:val="22"/>
        </w:rPr>
        <w:t>bumi</w:t>
      </w:r>
      <w:proofErr w:type="spellEnd"/>
      <w:r w:rsidRPr="005D550B">
        <w:rPr>
          <w:rFonts w:ascii="Cambria" w:eastAsia="Cambria" w:hAnsi="Cambria" w:cs="Cambria"/>
          <w:color w:val="000000"/>
          <w:sz w:val="22"/>
          <w:szCs w:val="22"/>
        </w:rPr>
        <w:t xml:space="preserve"> Flores," "PSN geothermal </w:t>
      </w:r>
      <w:proofErr w:type="spellStart"/>
      <w:r w:rsidRPr="005D550B">
        <w:rPr>
          <w:rFonts w:ascii="Cambria" w:eastAsia="Cambria" w:hAnsi="Cambria" w:cs="Cambria"/>
          <w:color w:val="000000"/>
          <w:sz w:val="22"/>
          <w:szCs w:val="22"/>
        </w:rPr>
        <w:t>Wae</w:t>
      </w:r>
      <w:proofErr w:type="spellEnd"/>
      <w:r w:rsidRPr="005D550B">
        <w:rPr>
          <w:rFonts w:ascii="Cambria" w:eastAsia="Cambria" w:hAnsi="Cambria" w:cs="Cambria"/>
          <w:color w:val="000000"/>
          <w:sz w:val="22"/>
          <w:szCs w:val="22"/>
        </w:rPr>
        <w:t xml:space="preserve"> Sano," "</w:t>
      </w:r>
      <w:proofErr w:type="spellStart"/>
      <w:r w:rsidRPr="005D550B">
        <w:rPr>
          <w:rFonts w:ascii="Cambria" w:eastAsia="Cambria" w:hAnsi="Cambria" w:cs="Cambria"/>
          <w:color w:val="000000"/>
          <w:sz w:val="22"/>
          <w:szCs w:val="22"/>
        </w:rPr>
        <w:t>represi</w:t>
      </w:r>
      <w:proofErr w:type="spellEnd"/>
      <w:r w:rsidRPr="005D550B">
        <w:rPr>
          <w:rFonts w:ascii="Cambria" w:eastAsia="Cambria" w:hAnsi="Cambria" w:cs="Cambria"/>
          <w:color w:val="000000"/>
          <w:sz w:val="22"/>
          <w:szCs w:val="22"/>
        </w:rPr>
        <w:t xml:space="preserve"> Poco Leok," and so on) across reputable independent journalism platforms and various verified local news outlets. All collected secondary data are then systematically catalogued and cross-referenced against each other. Advertorial news will be excluded, and Dewan Press certified news source and/or journalist is a must.</w:t>
      </w:r>
    </w:p>
    <w:p w14:paraId="5E28008B" w14:textId="1CF97109" w:rsidR="007671C4" w:rsidRPr="005D550B" w:rsidRDefault="007671C4">
      <w:pPr>
        <w:ind w:firstLine="425"/>
        <w:rPr>
          <w:rFonts w:ascii="Cambria" w:eastAsia="Cambria" w:hAnsi="Cambria" w:cs="Cambria"/>
          <w:color w:val="000000"/>
          <w:sz w:val="22"/>
          <w:szCs w:val="22"/>
        </w:rPr>
      </w:pPr>
      <w:r w:rsidRPr="005D550B">
        <w:rPr>
          <w:rFonts w:ascii="Cambria" w:eastAsia="Cambria" w:hAnsi="Cambria" w:cs="Cambria"/>
          <w:color w:val="000000"/>
          <w:sz w:val="22"/>
          <w:szCs w:val="22"/>
        </w:rPr>
        <w:t xml:space="preserve">Those abovementioned data from the 2 types of methods will be intersected. The spatial results are directly correlated with the qualitative findings. They will be cross-referenced; the biophysical threat maps with the intensity of localized social conflicts </w:t>
      </w:r>
      <w:r w:rsidRPr="005D550B">
        <w:rPr>
          <w:rFonts w:ascii="Cambria" w:eastAsia="Cambria" w:hAnsi="Cambria" w:cs="Cambria"/>
          <w:color w:val="000000"/>
          <w:sz w:val="22"/>
          <w:szCs w:val="22"/>
        </w:rPr>
        <w:lastRenderedPageBreak/>
        <w:t xml:space="preserve">documented in the curated media and </w:t>
      </w:r>
      <w:r w:rsidR="002B4BB0" w:rsidRPr="002B4BB0">
        <w:rPr>
          <w:rFonts w:ascii="Cambria" w:eastAsia="Cambria" w:hAnsi="Cambria" w:cs="Cambria"/>
          <w:color w:val="000000"/>
          <w:sz w:val="22"/>
          <w:szCs w:val="22"/>
        </w:rPr>
        <w:t xml:space="preserve">Non-Governmental Organization </w:t>
      </w:r>
      <w:r w:rsidR="002B4BB0">
        <w:rPr>
          <w:rFonts w:ascii="Cambria" w:eastAsia="Cambria" w:hAnsi="Cambria" w:cs="Cambria"/>
          <w:color w:val="000000"/>
          <w:sz w:val="22"/>
          <w:szCs w:val="22"/>
        </w:rPr>
        <w:t>(</w:t>
      </w:r>
      <w:r w:rsidRPr="005D550B">
        <w:rPr>
          <w:rFonts w:ascii="Cambria" w:eastAsia="Cambria" w:hAnsi="Cambria" w:cs="Cambria"/>
          <w:color w:val="000000"/>
          <w:sz w:val="22"/>
          <w:szCs w:val="22"/>
        </w:rPr>
        <w:t>NGO</w:t>
      </w:r>
      <w:r w:rsidR="002B4BB0">
        <w:rPr>
          <w:rFonts w:ascii="Cambria" w:eastAsia="Cambria" w:hAnsi="Cambria" w:cs="Cambria"/>
          <w:color w:val="000000"/>
          <w:sz w:val="22"/>
          <w:szCs w:val="22"/>
        </w:rPr>
        <w:t>)</w:t>
      </w:r>
      <w:r w:rsidRPr="005D550B">
        <w:rPr>
          <w:rFonts w:ascii="Cambria" w:eastAsia="Cambria" w:hAnsi="Cambria" w:cs="Cambria"/>
          <w:color w:val="000000"/>
          <w:sz w:val="22"/>
          <w:szCs w:val="22"/>
        </w:rPr>
        <w:t xml:space="preserve"> reports. This integration enables the study to systematically link the spatial reality of resource enclosure directly to its tangible socio-political impacts on the ground.</w:t>
      </w:r>
    </w:p>
    <w:p w14:paraId="0B93FD89" w14:textId="27E57087" w:rsidR="007671C4" w:rsidRPr="005D550B" w:rsidRDefault="007671C4">
      <w:pPr>
        <w:ind w:firstLine="425"/>
        <w:rPr>
          <w:rFonts w:ascii="Cambria" w:eastAsia="Cambria" w:hAnsi="Cambria" w:cs="Cambria"/>
          <w:color w:val="000000"/>
          <w:sz w:val="22"/>
          <w:szCs w:val="22"/>
        </w:rPr>
      </w:pPr>
      <w:r w:rsidRPr="005D550B">
        <w:rPr>
          <w:rFonts w:ascii="Cambria" w:eastAsia="Cambria" w:hAnsi="Cambria" w:cs="Cambria"/>
          <w:color w:val="000000"/>
          <w:sz w:val="22"/>
          <w:szCs w:val="22"/>
        </w:rPr>
        <w:t xml:space="preserve">After establishing the mixed-method and data collection parameters, the collected data will be </w:t>
      </w:r>
      <w:proofErr w:type="spellStart"/>
      <w:r w:rsidRPr="005D550B">
        <w:rPr>
          <w:rFonts w:ascii="Cambria" w:eastAsia="Cambria" w:hAnsi="Cambria" w:cs="Cambria"/>
          <w:color w:val="000000"/>
          <w:sz w:val="22"/>
          <w:szCs w:val="22"/>
        </w:rPr>
        <w:t>analysed</w:t>
      </w:r>
      <w:proofErr w:type="spellEnd"/>
      <w:r w:rsidRPr="005D550B">
        <w:rPr>
          <w:rFonts w:ascii="Cambria" w:eastAsia="Cambria" w:hAnsi="Cambria" w:cs="Cambria"/>
          <w:color w:val="000000"/>
          <w:sz w:val="22"/>
          <w:szCs w:val="22"/>
        </w:rPr>
        <w:t xml:space="preserve"> to deconstruct the socio-environmental conflicts. The analytical techniques for spatial and socio-political data are applied before being triangulated through the Political Ecology lens.</w:t>
      </w:r>
      <w:r w:rsidR="002765E7">
        <w:rPr>
          <w:rFonts w:ascii="Cambria" w:eastAsia="Cambria" w:hAnsi="Cambria" w:cs="Cambria"/>
          <w:color w:val="000000"/>
          <w:sz w:val="22"/>
          <w:szCs w:val="22"/>
        </w:rPr>
        <w:t xml:space="preserve"> </w:t>
      </w:r>
      <w:r w:rsidRPr="005D550B">
        <w:rPr>
          <w:rFonts w:ascii="Cambria" w:eastAsia="Cambria" w:hAnsi="Cambria" w:cs="Cambria"/>
          <w:color w:val="000000"/>
          <w:sz w:val="22"/>
          <w:szCs w:val="22"/>
        </w:rPr>
        <w:t>For the quantitative spatial data, the analysis relies on GIS geoprocessing tools. This study will execute an intersection analysis; the spatial boundaries of the WKP are digitally intersected with the indicative customary territories from BRWA and data from BIG. The result of this intersection generates measurable spatial data to quantify the physical extent of the green grabbing phenomenon. Additionally, DEM data is processed in the context of Hydrological Catchment. This technique delineates the watershed boundaries and calculates the topographical flow of water resources within the concession areas. By producing these geo-processed threat maps, the spatial analysis objectively calculates the biophysical vulnerability of local agricultural reliance without relying solely on state-issued environmental assessments.</w:t>
      </w:r>
    </w:p>
    <w:p w14:paraId="79C882D4" w14:textId="25E32512" w:rsidR="007671C4" w:rsidRPr="005D550B" w:rsidRDefault="007671C4">
      <w:pPr>
        <w:ind w:firstLine="425"/>
        <w:rPr>
          <w:rFonts w:ascii="Cambria" w:eastAsia="Cambria" w:hAnsi="Cambria" w:cs="Cambria"/>
          <w:color w:val="000000"/>
          <w:sz w:val="22"/>
          <w:szCs w:val="22"/>
        </w:rPr>
      </w:pPr>
      <w:r w:rsidRPr="005D550B">
        <w:rPr>
          <w:rFonts w:ascii="Cambria" w:eastAsia="Cambria" w:hAnsi="Cambria" w:cs="Cambria"/>
          <w:color w:val="000000"/>
          <w:sz w:val="22"/>
          <w:szCs w:val="22"/>
        </w:rPr>
        <w:t xml:space="preserve">As for the qualitative data, comprising official regulatory documents, corporate press releases to the public, and civil society reports, is processed using a unified interpretive framework: Directed Thematic Analysis. This approach enables writer to systematically code diverse textual data against a predetermined theoretical matrix. Using Paul Robbins Political Ecology theses as the deductive coding framework, the text data is systematically examined to extract the socio-political themes. During the process, official state and corporate documents are </w:t>
      </w:r>
      <w:proofErr w:type="spellStart"/>
      <w:r w:rsidRPr="005D550B">
        <w:rPr>
          <w:rFonts w:ascii="Cambria" w:eastAsia="Cambria" w:hAnsi="Cambria" w:cs="Cambria"/>
          <w:color w:val="000000"/>
          <w:sz w:val="22"/>
          <w:szCs w:val="22"/>
        </w:rPr>
        <w:t>analysed</w:t>
      </w:r>
      <w:proofErr w:type="spellEnd"/>
      <w:r w:rsidRPr="005D550B">
        <w:rPr>
          <w:rFonts w:ascii="Cambria" w:eastAsia="Cambria" w:hAnsi="Cambria" w:cs="Cambria"/>
          <w:color w:val="000000"/>
          <w:sz w:val="22"/>
          <w:szCs w:val="22"/>
        </w:rPr>
        <w:t xml:space="preserve"> to identify themes of “Conservation and Control,” specifically exploring how technocratic concepts like “sustainability goals” and “national interests” are discursively utilized to justify the project and legitimize bureaucratic proceduralism. Conversely, the curated investigative journalism articles and NGO advocacy reports are coded to extract themes related to “Environmental Conflict and Exclusion” and the “Formation of Environmental Subjects”. This involves isolating empirical accounts of spatial exclusion, the deployment of state coercive apparatus, horizontal conflict engineering, and the subsequent emerging indigenous environmental resistance movements. By utilizing Directed Thematic Analysis, the study can uniformly process both the hegemonic narrative of the state and the </w:t>
      </w:r>
      <w:r w:rsidR="002765E7" w:rsidRPr="005D550B">
        <w:rPr>
          <w:rFonts w:ascii="Cambria" w:eastAsia="Cambria" w:hAnsi="Cambria" w:cs="Cambria"/>
          <w:color w:val="000000"/>
          <w:sz w:val="22"/>
          <w:szCs w:val="22"/>
        </w:rPr>
        <w:t>counternarratives</w:t>
      </w:r>
      <w:r w:rsidRPr="005D550B">
        <w:rPr>
          <w:rFonts w:ascii="Cambria" w:eastAsia="Cambria" w:hAnsi="Cambria" w:cs="Cambria"/>
          <w:color w:val="000000"/>
          <w:sz w:val="22"/>
          <w:szCs w:val="22"/>
        </w:rPr>
        <w:t xml:space="preserve"> of the community under a single, coherent, critical framework.</w:t>
      </w:r>
    </w:p>
    <w:p w14:paraId="4D6EB5B4" w14:textId="572229F3" w:rsidR="00E06797" w:rsidRPr="005D550B" w:rsidRDefault="007671C4" w:rsidP="007671C4">
      <w:pPr>
        <w:ind w:firstLine="425"/>
        <w:rPr>
          <w:rFonts w:ascii="Cambria" w:eastAsia="Cambria" w:hAnsi="Cambria" w:cs="Cambria"/>
          <w:color w:val="000000"/>
          <w:sz w:val="22"/>
          <w:szCs w:val="22"/>
        </w:rPr>
      </w:pPr>
      <w:r w:rsidRPr="005D550B">
        <w:rPr>
          <w:rFonts w:ascii="Cambria" w:eastAsia="Cambria" w:hAnsi="Cambria" w:cs="Cambria"/>
          <w:color w:val="000000"/>
          <w:sz w:val="22"/>
          <w:szCs w:val="22"/>
        </w:rPr>
        <w:t xml:space="preserve">The primary justification for employing this combination of GIS geoprocessing with Directed Thematic Analysis is rooted in the analytical demands of Political Ecology. The spatial analysis provides the objective, empirical boundaries of the conflict (to answer quantifiable questions such as “where,” “how much,” and so on), while the thematic analysis exposes the underlying power dynamics and structural violence (to answer the interpretive questions such as “how,” “why,” and so on). Triangulating geo-processed maps directly against coded textual themes ensures that the socio-environmental injustices in Flores are </w:t>
      </w:r>
      <w:proofErr w:type="spellStart"/>
      <w:r w:rsidRPr="005D550B">
        <w:rPr>
          <w:rFonts w:ascii="Cambria" w:eastAsia="Cambria" w:hAnsi="Cambria" w:cs="Cambria"/>
          <w:color w:val="000000"/>
          <w:sz w:val="22"/>
          <w:szCs w:val="22"/>
        </w:rPr>
        <w:t>analysed</w:t>
      </w:r>
      <w:proofErr w:type="spellEnd"/>
      <w:r w:rsidRPr="005D550B">
        <w:rPr>
          <w:rFonts w:ascii="Cambria" w:eastAsia="Cambria" w:hAnsi="Cambria" w:cs="Cambria"/>
          <w:color w:val="000000"/>
          <w:sz w:val="22"/>
          <w:szCs w:val="22"/>
        </w:rPr>
        <w:t xml:space="preserve"> not as isolated incidents, but as a deeply interconnected structural consequence of Indonesia’s current national problematic energy transition paradigm.</w:t>
      </w:r>
    </w:p>
    <w:p w14:paraId="74655B3C" w14:textId="77777777" w:rsidR="00E06797" w:rsidRPr="005D550B" w:rsidRDefault="00E06797">
      <w:pPr>
        <w:rPr>
          <w:rFonts w:ascii="Cambria" w:eastAsia="Cambria" w:hAnsi="Cambria" w:cs="Cambria"/>
          <w:sz w:val="22"/>
          <w:szCs w:val="22"/>
        </w:rPr>
      </w:pPr>
    </w:p>
    <w:p w14:paraId="3CF83073" w14:textId="1D8B99D9" w:rsidR="00904BC7" w:rsidRPr="005D550B" w:rsidRDefault="00A936EE" w:rsidP="00904BC7">
      <w:pPr>
        <w:pBdr>
          <w:top w:val="nil"/>
          <w:left w:val="nil"/>
          <w:bottom w:val="nil"/>
          <w:right w:val="nil"/>
          <w:between w:val="nil"/>
        </w:pBdr>
        <w:rPr>
          <w:rFonts w:ascii="Cambria" w:eastAsia="Cambria" w:hAnsi="Cambria" w:cs="Cambria"/>
          <w:b/>
          <w:bCs/>
          <w:sz w:val="24"/>
          <w:szCs w:val="24"/>
        </w:rPr>
      </w:pPr>
      <w:r w:rsidRPr="005D550B">
        <w:rPr>
          <w:rFonts w:ascii="Cambria" w:eastAsia="Cambria" w:hAnsi="Cambria" w:cs="Cambria"/>
          <w:b/>
          <w:bCs/>
          <w:sz w:val="24"/>
          <w:szCs w:val="24"/>
        </w:rPr>
        <w:t>3. Results and Discussion</w:t>
      </w:r>
    </w:p>
    <w:p w14:paraId="74511C28" w14:textId="77777777" w:rsidR="00904BC7" w:rsidRPr="005D550B" w:rsidRDefault="00904BC7" w:rsidP="00904BC7">
      <w:pPr>
        <w:pBdr>
          <w:top w:val="nil"/>
          <w:left w:val="nil"/>
          <w:bottom w:val="nil"/>
          <w:right w:val="nil"/>
          <w:between w:val="nil"/>
        </w:pBdr>
        <w:rPr>
          <w:rFonts w:ascii="Cambria" w:eastAsia="Cambria" w:hAnsi="Cambria" w:cs="Cambria"/>
          <w:b/>
          <w:bCs/>
          <w:sz w:val="22"/>
          <w:szCs w:val="22"/>
        </w:rPr>
      </w:pPr>
    </w:p>
    <w:p w14:paraId="26FB083F" w14:textId="3E649B69" w:rsidR="00E06797" w:rsidRPr="005D550B" w:rsidRDefault="00AE7415" w:rsidP="00904BC7">
      <w:pPr>
        <w:pBdr>
          <w:top w:val="nil"/>
          <w:left w:val="nil"/>
          <w:bottom w:val="nil"/>
          <w:right w:val="nil"/>
          <w:between w:val="nil"/>
        </w:pBdr>
        <w:spacing w:before="48" w:after="48"/>
        <w:ind w:right="-28" w:firstLine="426"/>
        <w:rPr>
          <w:rFonts w:ascii="Cambria" w:eastAsia="Cambria" w:hAnsi="Cambria" w:cs="Cambria"/>
          <w:sz w:val="22"/>
          <w:szCs w:val="22"/>
        </w:rPr>
      </w:pPr>
      <w:r w:rsidRPr="005D550B">
        <w:rPr>
          <w:rFonts w:ascii="Cambria" w:eastAsia="Cambria" w:hAnsi="Cambria" w:cs="Cambria"/>
          <w:sz w:val="22"/>
          <w:szCs w:val="22"/>
        </w:rPr>
        <w:t xml:space="preserve">Based on the initial spatial data collection and shapefile extraction from the Ministry of ESDM Geoportal, this study identifies six WKP concessions on the mainland of Flores Island. The area of each WKP are varies, consists of WKP </w:t>
      </w:r>
      <w:proofErr w:type="spellStart"/>
      <w:r w:rsidRPr="005D550B">
        <w:rPr>
          <w:rFonts w:ascii="Cambria" w:eastAsia="Cambria" w:hAnsi="Cambria" w:cs="Cambria"/>
          <w:sz w:val="22"/>
          <w:szCs w:val="22"/>
        </w:rPr>
        <w:t>Mataloko</w:t>
      </w:r>
      <w:proofErr w:type="spellEnd"/>
      <w:r w:rsidRPr="005D550B">
        <w:rPr>
          <w:rFonts w:ascii="Cambria" w:eastAsia="Cambria" w:hAnsi="Cambria" w:cs="Cambria"/>
          <w:sz w:val="22"/>
          <w:szCs w:val="22"/>
        </w:rPr>
        <w:t xml:space="preserve"> (1</w:t>
      </w:r>
      <w:r w:rsidR="00AE2D5B">
        <w:rPr>
          <w:rFonts w:ascii="Cambria" w:eastAsia="Cambria" w:hAnsi="Cambria" w:cs="Cambria"/>
          <w:sz w:val="22"/>
          <w:szCs w:val="22"/>
        </w:rPr>
        <w:t>,</w:t>
      </w:r>
      <w:r w:rsidRPr="005D550B">
        <w:rPr>
          <w:rFonts w:ascii="Cambria" w:eastAsia="Cambria" w:hAnsi="Cambria" w:cs="Cambria"/>
          <w:sz w:val="22"/>
          <w:szCs w:val="22"/>
        </w:rPr>
        <w:t>020</w:t>
      </w:r>
      <w:r w:rsidR="00AE2D5B">
        <w:rPr>
          <w:rFonts w:ascii="Cambria" w:eastAsia="Cambria" w:hAnsi="Cambria" w:cs="Cambria"/>
          <w:sz w:val="22"/>
          <w:szCs w:val="22"/>
        </w:rPr>
        <w:t>.</w:t>
      </w:r>
      <w:r w:rsidRPr="005D550B">
        <w:rPr>
          <w:rFonts w:ascii="Cambria" w:eastAsia="Cambria" w:hAnsi="Cambria" w:cs="Cambria"/>
          <w:sz w:val="22"/>
          <w:szCs w:val="22"/>
        </w:rPr>
        <w:t xml:space="preserve">17 hectares), WKP </w:t>
      </w:r>
      <w:proofErr w:type="spellStart"/>
      <w:r w:rsidRPr="005D550B">
        <w:rPr>
          <w:rFonts w:ascii="Cambria" w:eastAsia="Cambria" w:hAnsi="Cambria" w:cs="Cambria"/>
          <w:sz w:val="22"/>
          <w:szCs w:val="22"/>
        </w:rPr>
        <w:t>Nage</w:t>
      </w:r>
      <w:proofErr w:type="spellEnd"/>
      <w:r w:rsidRPr="005D550B">
        <w:rPr>
          <w:rFonts w:ascii="Cambria" w:eastAsia="Cambria" w:hAnsi="Cambria" w:cs="Cambria"/>
          <w:sz w:val="22"/>
          <w:szCs w:val="22"/>
        </w:rPr>
        <w:t xml:space="preserve"> (10</w:t>
      </w:r>
      <w:r w:rsidR="00AE2D5B">
        <w:rPr>
          <w:rFonts w:ascii="Cambria" w:eastAsia="Cambria" w:hAnsi="Cambria" w:cs="Cambria"/>
          <w:sz w:val="22"/>
          <w:szCs w:val="22"/>
        </w:rPr>
        <w:t>,</w:t>
      </w:r>
      <w:r w:rsidRPr="005D550B">
        <w:rPr>
          <w:rFonts w:ascii="Cambria" w:eastAsia="Cambria" w:hAnsi="Cambria" w:cs="Cambria"/>
          <w:sz w:val="22"/>
          <w:szCs w:val="22"/>
        </w:rPr>
        <w:t>688</w:t>
      </w:r>
      <w:r w:rsidR="00AE2D5B">
        <w:rPr>
          <w:rFonts w:ascii="Cambria" w:eastAsia="Cambria" w:hAnsi="Cambria" w:cs="Cambria"/>
          <w:sz w:val="22"/>
          <w:szCs w:val="22"/>
        </w:rPr>
        <w:t>.</w:t>
      </w:r>
      <w:r w:rsidRPr="005D550B">
        <w:rPr>
          <w:rFonts w:ascii="Cambria" w:eastAsia="Cambria" w:hAnsi="Cambria" w:cs="Cambria"/>
          <w:sz w:val="22"/>
          <w:szCs w:val="22"/>
        </w:rPr>
        <w:t xml:space="preserve">51 hectares), WKP </w:t>
      </w:r>
      <w:proofErr w:type="spellStart"/>
      <w:r w:rsidRPr="005D550B">
        <w:rPr>
          <w:rFonts w:ascii="Cambria" w:eastAsia="Cambria" w:hAnsi="Cambria" w:cs="Cambria"/>
          <w:sz w:val="22"/>
          <w:szCs w:val="22"/>
        </w:rPr>
        <w:t>Wae</w:t>
      </w:r>
      <w:proofErr w:type="spellEnd"/>
      <w:r w:rsidRPr="005D550B">
        <w:rPr>
          <w:rFonts w:ascii="Cambria" w:eastAsia="Cambria" w:hAnsi="Cambria" w:cs="Cambria"/>
          <w:sz w:val="22"/>
          <w:szCs w:val="22"/>
        </w:rPr>
        <w:t xml:space="preserve"> Sano (12</w:t>
      </w:r>
      <w:r w:rsidR="00AE2D5B">
        <w:rPr>
          <w:rFonts w:ascii="Cambria" w:eastAsia="Cambria" w:hAnsi="Cambria" w:cs="Cambria"/>
          <w:sz w:val="22"/>
          <w:szCs w:val="22"/>
        </w:rPr>
        <w:t>,</w:t>
      </w:r>
      <w:r w:rsidRPr="005D550B">
        <w:rPr>
          <w:rFonts w:ascii="Cambria" w:eastAsia="Cambria" w:hAnsi="Cambria" w:cs="Cambria"/>
          <w:sz w:val="22"/>
          <w:szCs w:val="22"/>
        </w:rPr>
        <w:t>483</w:t>
      </w:r>
      <w:r w:rsidR="00AE2D5B">
        <w:rPr>
          <w:rFonts w:ascii="Cambria" w:eastAsia="Cambria" w:hAnsi="Cambria" w:cs="Cambria"/>
          <w:sz w:val="22"/>
          <w:szCs w:val="22"/>
        </w:rPr>
        <w:t>.</w:t>
      </w:r>
      <w:r w:rsidRPr="005D550B">
        <w:rPr>
          <w:rFonts w:ascii="Cambria" w:eastAsia="Cambria" w:hAnsi="Cambria" w:cs="Cambria"/>
          <w:sz w:val="22"/>
          <w:szCs w:val="22"/>
        </w:rPr>
        <w:t>43 hectares), WKP Oka Ile Ange (12</w:t>
      </w:r>
      <w:r w:rsidR="00AE2D5B">
        <w:rPr>
          <w:rFonts w:ascii="Cambria" w:eastAsia="Cambria" w:hAnsi="Cambria" w:cs="Cambria"/>
          <w:sz w:val="22"/>
          <w:szCs w:val="22"/>
        </w:rPr>
        <w:t>,</w:t>
      </w:r>
      <w:r w:rsidRPr="005D550B">
        <w:rPr>
          <w:rFonts w:ascii="Cambria" w:eastAsia="Cambria" w:hAnsi="Cambria" w:cs="Cambria"/>
          <w:sz w:val="22"/>
          <w:szCs w:val="22"/>
        </w:rPr>
        <w:t>803</w:t>
      </w:r>
      <w:r w:rsidR="00AE2D5B">
        <w:rPr>
          <w:rFonts w:ascii="Cambria" w:eastAsia="Cambria" w:hAnsi="Cambria" w:cs="Cambria"/>
          <w:sz w:val="22"/>
          <w:szCs w:val="22"/>
        </w:rPr>
        <w:t>.</w:t>
      </w:r>
      <w:r w:rsidRPr="005D550B">
        <w:rPr>
          <w:rFonts w:ascii="Cambria" w:eastAsia="Cambria" w:hAnsi="Cambria" w:cs="Cambria"/>
          <w:sz w:val="22"/>
          <w:szCs w:val="22"/>
        </w:rPr>
        <w:t xml:space="preserve">30 hectares), WKP </w:t>
      </w:r>
      <w:proofErr w:type="spellStart"/>
      <w:r w:rsidRPr="005D550B">
        <w:rPr>
          <w:rFonts w:ascii="Cambria" w:eastAsia="Cambria" w:hAnsi="Cambria" w:cs="Cambria"/>
          <w:sz w:val="22"/>
          <w:szCs w:val="22"/>
        </w:rPr>
        <w:t>Ulumbu</w:t>
      </w:r>
      <w:proofErr w:type="spellEnd"/>
      <w:r w:rsidRPr="005D550B">
        <w:rPr>
          <w:rFonts w:ascii="Cambria" w:eastAsia="Cambria" w:hAnsi="Cambria" w:cs="Cambria"/>
          <w:sz w:val="22"/>
          <w:szCs w:val="22"/>
        </w:rPr>
        <w:t xml:space="preserve"> (18</w:t>
      </w:r>
      <w:r w:rsidR="00AE2D5B">
        <w:rPr>
          <w:rFonts w:ascii="Cambria" w:eastAsia="Cambria" w:hAnsi="Cambria" w:cs="Cambria"/>
          <w:sz w:val="22"/>
          <w:szCs w:val="22"/>
        </w:rPr>
        <w:t>,</w:t>
      </w:r>
      <w:r w:rsidRPr="005D550B">
        <w:rPr>
          <w:rFonts w:ascii="Cambria" w:eastAsia="Cambria" w:hAnsi="Cambria" w:cs="Cambria"/>
          <w:sz w:val="22"/>
          <w:szCs w:val="22"/>
        </w:rPr>
        <w:t>762</w:t>
      </w:r>
      <w:r w:rsidR="00AE2D5B">
        <w:rPr>
          <w:rFonts w:ascii="Cambria" w:eastAsia="Cambria" w:hAnsi="Cambria" w:cs="Cambria"/>
          <w:sz w:val="22"/>
          <w:szCs w:val="22"/>
        </w:rPr>
        <w:t>.</w:t>
      </w:r>
      <w:r w:rsidRPr="005D550B">
        <w:rPr>
          <w:rFonts w:ascii="Cambria" w:eastAsia="Cambria" w:hAnsi="Cambria" w:cs="Cambria"/>
          <w:sz w:val="22"/>
          <w:szCs w:val="22"/>
        </w:rPr>
        <w:t xml:space="preserve">00 hectares), and the largest, WKP </w:t>
      </w:r>
      <w:proofErr w:type="spellStart"/>
      <w:r w:rsidRPr="005D550B">
        <w:rPr>
          <w:rFonts w:ascii="Cambria" w:eastAsia="Cambria" w:hAnsi="Cambria" w:cs="Cambria"/>
          <w:sz w:val="22"/>
          <w:szCs w:val="22"/>
        </w:rPr>
        <w:t>Sokoria</w:t>
      </w:r>
      <w:proofErr w:type="spellEnd"/>
      <w:r w:rsidRPr="005D550B">
        <w:rPr>
          <w:rFonts w:ascii="Cambria" w:eastAsia="Cambria" w:hAnsi="Cambria" w:cs="Cambria"/>
          <w:sz w:val="22"/>
          <w:szCs w:val="22"/>
        </w:rPr>
        <w:t xml:space="preserve"> (43</w:t>
      </w:r>
      <w:r w:rsidR="00AE2D5B">
        <w:rPr>
          <w:rFonts w:ascii="Cambria" w:eastAsia="Cambria" w:hAnsi="Cambria" w:cs="Cambria"/>
          <w:sz w:val="22"/>
          <w:szCs w:val="22"/>
        </w:rPr>
        <w:t>,</w:t>
      </w:r>
      <w:r w:rsidRPr="005D550B">
        <w:rPr>
          <w:rFonts w:ascii="Cambria" w:eastAsia="Cambria" w:hAnsi="Cambria" w:cs="Cambria"/>
          <w:sz w:val="22"/>
          <w:szCs w:val="22"/>
        </w:rPr>
        <w:t>730</w:t>
      </w:r>
      <w:r w:rsidR="00AE2D5B">
        <w:rPr>
          <w:rFonts w:ascii="Cambria" w:eastAsia="Cambria" w:hAnsi="Cambria" w:cs="Cambria"/>
          <w:sz w:val="22"/>
          <w:szCs w:val="22"/>
        </w:rPr>
        <w:t>.</w:t>
      </w:r>
      <w:r w:rsidRPr="005D550B">
        <w:rPr>
          <w:rFonts w:ascii="Cambria" w:eastAsia="Cambria" w:hAnsi="Cambria" w:cs="Cambria"/>
          <w:sz w:val="22"/>
          <w:szCs w:val="22"/>
        </w:rPr>
        <w:t>74 hectares). The total area of these WKPs reaches 99</w:t>
      </w:r>
      <w:r w:rsidR="00AE2D5B">
        <w:rPr>
          <w:rFonts w:ascii="Cambria" w:eastAsia="Cambria" w:hAnsi="Cambria" w:cs="Cambria"/>
          <w:sz w:val="22"/>
          <w:szCs w:val="22"/>
        </w:rPr>
        <w:t>,</w:t>
      </w:r>
      <w:r w:rsidRPr="005D550B">
        <w:rPr>
          <w:rFonts w:ascii="Cambria" w:eastAsia="Cambria" w:hAnsi="Cambria" w:cs="Cambria"/>
          <w:sz w:val="22"/>
          <w:szCs w:val="22"/>
        </w:rPr>
        <w:t>488</w:t>
      </w:r>
      <w:r w:rsidR="00AE2D5B">
        <w:rPr>
          <w:rFonts w:ascii="Cambria" w:eastAsia="Cambria" w:hAnsi="Cambria" w:cs="Cambria"/>
          <w:sz w:val="22"/>
          <w:szCs w:val="22"/>
        </w:rPr>
        <w:t>.</w:t>
      </w:r>
      <w:r w:rsidRPr="005D550B">
        <w:rPr>
          <w:rFonts w:ascii="Cambria" w:eastAsia="Cambria" w:hAnsi="Cambria" w:cs="Cambria"/>
          <w:sz w:val="22"/>
          <w:szCs w:val="22"/>
        </w:rPr>
        <w:t>17 hectares. Considering the total landmass of Flores Island is approximately 1.35 million hectares, it occupies around 7.3% of the island's total area.</w:t>
      </w:r>
    </w:p>
    <w:p w14:paraId="5BDAA2E7" w14:textId="77777777" w:rsidR="00B35295" w:rsidRPr="005D550B" w:rsidRDefault="00B35295" w:rsidP="002765E7">
      <w:pPr>
        <w:pBdr>
          <w:top w:val="nil"/>
          <w:left w:val="nil"/>
          <w:bottom w:val="nil"/>
          <w:right w:val="nil"/>
          <w:between w:val="nil"/>
        </w:pBdr>
        <w:spacing w:before="48" w:after="48"/>
        <w:ind w:right="-28"/>
        <w:rPr>
          <w:rFonts w:ascii="Cambria" w:eastAsia="Cambria" w:hAnsi="Cambria" w:cs="Cambria"/>
          <w:sz w:val="22"/>
          <w:szCs w:val="22"/>
        </w:rPr>
      </w:pPr>
    </w:p>
    <w:p w14:paraId="07782AF0" w14:textId="7642E975" w:rsidR="00E06797" w:rsidRPr="005D550B" w:rsidRDefault="00A936EE">
      <w:pPr>
        <w:widowControl w:val="0"/>
        <w:pBdr>
          <w:top w:val="nil"/>
          <w:left w:val="nil"/>
          <w:bottom w:val="nil"/>
          <w:right w:val="nil"/>
          <w:between w:val="nil"/>
        </w:pBdr>
        <w:tabs>
          <w:tab w:val="left" w:pos="540"/>
        </w:tabs>
        <w:rPr>
          <w:rFonts w:ascii="Cambria" w:eastAsia="Cambria" w:hAnsi="Cambria" w:cs="Cambria"/>
        </w:rPr>
      </w:pPr>
      <w:r w:rsidRPr="005D550B">
        <w:rPr>
          <w:rFonts w:ascii="Cambria" w:eastAsia="Cambria" w:hAnsi="Cambria" w:cs="Cambria"/>
        </w:rPr>
        <w:lastRenderedPageBreak/>
        <w:t xml:space="preserve">Table 1. </w:t>
      </w:r>
      <w:r w:rsidR="00B50008" w:rsidRPr="00B50008">
        <w:rPr>
          <w:rFonts w:ascii="Cambria" w:eastAsia="Cambria" w:hAnsi="Cambria" w:cs="Cambria"/>
        </w:rPr>
        <w:t xml:space="preserve">Geothermal </w:t>
      </w:r>
      <w:r w:rsidR="00B50008">
        <w:rPr>
          <w:rFonts w:ascii="Cambria" w:eastAsia="Cambria" w:hAnsi="Cambria" w:cs="Cambria"/>
        </w:rPr>
        <w:t>w</w:t>
      </w:r>
      <w:r w:rsidR="00B50008" w:rsidRPr="00B50008">
        <w:rPr>
          <w:rFonts w:ascii="Cambria" w:eastAsia="Cambria" w:hAnsi="Cambria" w:cs="Cambria"/>
        </w:rPr>
        <w:t xml:space="preserve">orking </w:t>
      </w:r>
      <w:r w:rsidR="00B50008">
        <w:rPr>
          <w:rFonts w:ascii="Cambria" w:eastAsia="Cambria" w:hAnsi="Cambria" w:cs="Cambria"/>
        </w:rPr>
        <w:t>a</w:t>
      </w:r>
      <w:r w:rsidR="00B50008" w:rsidRPr="00B50008">
        <w:rPr>
          <w:rFonts w:ascii="Cambria" w:eastAsia="Cambria" w:hAnsi="Cambria" w:cs="Cambria"/>
        </w:rPr>
        <w:t>reas</w:t>
      </w:r>
      <w:r w:rsidR="00B50008">
        <w:rPr>
          <w:rFonts w:ascii="Cambria" w:eastAsia="Cambria" w:hAnsi="Cambria" w:cs="Cambria"/>
        </w:rPr>
        <w:t xml:space="preserve"> </w:t>
      </w:r>
      <w:r w:rsidR="00AE7415" w:rsidRPr="005D550B">
        <w:rPr>
          <w:rFonts w:ascii="Cambria" w:eastAsia="Cambria" w:hAnsi="Cambria" w:cs="Cambria"/>
        </w:rPr>
        <w:t>of Flores Island</w:t>
      </w:r>
    </w:p>
    <w:tbl>
      <w:tblPr>
        <w:tblStyle w:val="3"/>
        <w:tblW w:w="8550" w:type="dxa"/>
        <w:tblInd w:w="0" w:type="dxa"/>
        <w:tblBorders>
          <w:top w:val="single" w:sz="4" w:space="0" w:color="auto"/>
        </w:tblBorders>
        <w:tblLayout w:type="fixed"/>
        <w:tblLook w:val="0000" w:firstRow="0" w:lastRow="0" w:firstColumn="0" w:lastColumn="0" w:noHBand="0" w:noVBand="0"/>
      </w:tblPr>
      <w:tblGrid>
        <w:gridCol w:w="1260"/>
        <w:gridCol w:w="1980"/>
        <w:gridCol w:w="1260"/>
        <w:gridCol w:w="1350"/>
        <w:gridCol w:w="1350"/>
        <w:gridCol w:w="1350"/>
      </w:tblGrid>
      <w:tr w:rsidR="005D550B" w:rsidRPr="005D550B" w14:paraId="08C7102D" w14:textId="5ED8CBE6" w:rsidTr="004E7B71">
        <w:trPr>
          <w:trHeight w:val="20"/>
        </w:trPr>
        <w:tc>
          <w:tcPr>
            <w:tcW w:w="1260" w:type="dxa"/>
            <w:tcBorders>
              <w:top w:val="single" w:sz="4" w:space="0" w:color="auto"/>
              <w:bottom w:val="single" w:sz="4" w:space="0" w:color="auto"/>
            </w:tcBorders>
            <w:vAlign w:val="top"/>
          </w:tcPr>
          <w:p w14:paraId="1ED2AE49" w14:textId="28F0E5EB" w:rsidR="005D550B" w:rsidRPr="005D550B" w:rsidRDefault="002765E7" w:rsidP="004E7B71">
            <w:pPr>
              <w:pBdr>
                <w:top w:val="nil"/>
                <w:left w:val="nil"/>
                <w:bottom w:val="nil"/>
                <w:right w:val="nil"/>
                <w:between w:val="nil"/>
              </w:pBdr>
              <w:ind w:left="-112"/>
              <w:jc w:val="left"/>
              <w:rPr>
                <w:rFonts w:ascii="Cambria" w:eastAsia="Cambria" w:hAnsi="Cambria" w:cs="Cambria"/>
              </w:rPr>
            </w:pPr>
            <w:bookmarkStart w:id="0" w:name="_Hlk221011760"/>
            <w:r w:rsidRPr="002765E7">
              <w:rPr>
                <w:rFonts w:ascii="Cambria" w:eastAsia="Cambria" w:hAnsi="Cambria" w:cs="Cambria"/>
              </w:rPr>
              <w:t>Geothermal Working Areas</w:t>
            </w:r>
          </w:p>
        </w:tc>
        <w:tc>
          <w:tcPr>
            <w:tcW w:w="1980" w:type="dxa"/>
            <w:tcBorders>
              <w:top w:val="single" w:sz="4" w:space="0" w:color="auto"/>
              <w:bottom w:val="single" w:sz="4" w:space="0" w:color="auto"/>
            </w:tcBorders>
            <w:vAlign w:val="top"/>
          </w:tcPr>
          <w:p w14:paraId="1374F426" w14:textId="7BB8A927"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Legal Basis</w:t>
            </w:r>
          </w:p>
        </w:tc>
        <w:tc>
          <w:tcPr>
            <w:tcW w:w="1260" w:type="dxa"/>
            <w:tcBorders>
              <w:top w:val="single" w:sz="4" w:space="0" w:color="auto"/>
              <w:bottom w:val="single" w:sz="4" w:space="0" w:color="auto"/>
            </w:tcBorders>
            <w:vAlign w:val="top"/>
          </w:tcPr>
          <w:p w14:paraId="0A890BFD" w14:textId="5FC2BEFA"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Location</w:t>
            </w:r>
          </w:p>
        </w:tc>
        <w:tc>
          <w:tcPr>
            <w:tcW w:w="1350" w:type="dxa"/>
            <w:tcBorders>
              <w:top w:val="single" w:sz="4" w:space="0" w:color="auto"/>
              <w:bottom w:val="single" w:sz="4" w:space="0" w:color="auto"/>
            </w:tcBorders>
            <w:vAlign w:val="top"/>
          </w:tcPr>
          <w:p w14:paraId="469DAB72" w14:textId="057C7263"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Area size (hectare)</w:t>
            </w:r>
          </w:p>
        </w:tc>
        <w:tc>
          <w:tcPr>
            <w:tcW w:w="1350" w:type="dxa"/>
            <w:tcBorders>
              <w:top w:val="single" w:sz="4" w:space="0" w:color="auto"/>
              <w:bottom w:val="single" w:sz="4" w:space="0" w:color="auto"/>
            </w:tcBorders>
            <w:vAlign w:val="top"/>
          </w:tcPr>
          <w:p w14:paraId="29C719A5" w14:textId="59853F71"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DAS</w:t>
            </w:r>
          </w:p>
        </w:tc>
        <w:tc>
          <w:tcPr>
            <w:tcW w:w="1350" w:type="dxa"/>
            <w:tcBorders>
              <w:top w:val="single" w:sz="4" w:space="0" w:color="auto"/>
              <w:bottom w:val="single" w:sz="4" w:space="0" w:color="auto"/>
            </w:tcBorders>
            <w:vAlign w:val="top"/>
          </w:tcPr>
          <w:p w14:paraId="3E132A8B" w14:textId="2B5108D0" w:rsidR="005D550B" w:rsidRPr="005D550B" w:rsidRDefault="00B50008" w:rsidP="005D550B">
            <w:pPr>
              <w:pBdr>
                <w:top w:val="nil"/>
                <w:left w:val="nil"/>
                <w:bottom w:val="nil"/>
                <w:right w:val="nil"/>
                <w:between w:val="nil"/>
              </w:pBdr>
              <w:ind w:left="-112"/>
              <w:jc w:val="left"/>
              <w:rPr>
                <w:rFonts w:ascii="Cambria" w:eastAsia="Cambria" w:hAnsi="Cambria" w:cs="Cambria"/>
              </w:rPr>
            </w:pPr>
            <w:r>
              <w:rPr>
                <w:rFonts w:ascii="Cambria" w:eastAsia="Cambria" w:hAnsi="Cambria" w:cs="Cambria"/>
              </w:rPr>
              <w:t>Community Land</w:t>
            </w:r>
          </w:p>
        </w:tc>
      </w:tr>
      <w:tr w:rsidR="005D550B" w:rsidRPr="005D550B" w14:paraId="4E5C406D" w14:textId="0053F73C" w:rsidTr="004E7B71">
        <w:trPr>
          <w:trHeight w:val="20"/>
        </w:trPr>
        <w:tc>
          <w:tcPr>
            <w:tcW w:w="1260" w:type="dxa"/>
            <w:tcBorders>
              <w:top w:val="single" w:sz="4" w:space="0" w:color="auto"/>
            </w:tcBorders>
            <w:vAlign w:val="top"/>
          </w:tcPr>
          <w:p w14:paraId="21FB0C59" w14:textId="356850DE" w:rsidR="005D550B" w:rsidRPr="005D550B" w:rsidRDefault="005D550B" w:rsidP="004E7B71">
            <w:pPr>
              <w:pBdr>
                <w:top w:val="nil"/>
                <w:left w:val="nil"/>
                <w:bottom w:val="nil"/>
                <w:right w:val="nil"/>
                <w:between w:val="nil"/>
              </w:pBdr>
              <w:ind w:left="-112"/>
              <w:jc w:val="left"/>
              <w:rPr>
                <w:rFonts w:ascii="Cambria" w:eastAsia="Cambria" w:hAnsi="Cambria" w:cs="Cambria"/>
              </w:rPr>
            </w:pPr>
            <w:proofErr w:type="spellStart"/>
            <w:r w:rsidRPr="005D550B">
              <w:rPr>
                <w:rFonts w:ascii="Cambria" w:eastAsia="Cambria" w:hAnsi="Cambria" w:cs="Cambria"/>
              </w:rPr>
              <w:t>Mataloko</w:t>
            </w:r>
            <w:proofErr w:type="spellEnd"/>
          </w:p>
        </w:tc>
        <w:tc>
          <w:tcPr>
            <w:tcW w:w="1980" w:type="dxa"/>
            <w:tcBorders>
              <w:top w:val="single" w:sz="4" w:space="0" w:color="auto"/>
            </w:tcBorders>
            <w:vAlign w:val="top"/>
          </w:tcPr>
          <w:p w14:paraId="1B3EC51B" w14:textId="523653F5" w:rsidR="005D550B" w:rsidRPr="005D550B" w:rsidRDefault="002765E7" w:rsidP="004E7B71">
            <w:pPr>
              <w:pBdr>
                <w:top w:val="nil"/>
                <w:left w:val="nil"/>
                <w:bottom w:val="nil"/>
                <w:right w:val="nil"/>
                <w:between w:val="nil"/>
              </w:pBdr>
              <w:ind w:left="-112"/>
              <w:jc w:val="left"/>
              <w:rPr>
                <w:rFonts w:ascii="Cambria" w:eastAsia="Cambria" w:hAnsi="Cambria" w:cs="Cambria"/>
              </w:rPr>
            </w:pPr>
            <w:r w:rsidRPr="002765E7">
              <w:rPr>
                <w:rFonts w:ascii="Cambria" w:eastAsia="Cambria" w:hAnsi="Cambria" w:cs="Cambria"/>
              </w:rPr>
              <w:t>Decision of the Minister of Energy and Mineral</w:t>
            </w:r>
            <w:r>
              <w:rPr>
                <w:rFonts w:ascii="Cambria" w:eastAsia="Cambria" w:hAnsi="Cambria" w:cs="Cambria"/>
              </w:rPr>
              <w:t xml:space="preserve"> Number</w:t>
            </w:r>
          </w:p>
          <w:p w14:paraId="521C4FC2"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1152 K/30/MEM/</w:t>
            </w:r>
          </w:p>
          <w:p w14:paraId="45EE62A5"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2011</w:t>
            </w:r>
          </w:p>
          <w:p w14:paraId="37157CA9" w14:textId="483F7814"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260" w:type="dxa"/>
            <w:tcBorders>
              <w:top w:val="single" w:sz="4" w:space="0" w:color="auto"/>
            </w:tcBorders>
            <w:vAlign w:val="top"/>
          </w:tcPr>
          <w:p w14:paraId="79F29A49" w14:textId="28AAB3A8" w:rsidR="005D550B" w:rsidRPr="005D550B" w:rsidRDefault="005D550B" w:rsidP="004E7B71">
            <w:pPr>
              <w:pBdr>
                <w:top w:val="nil"/>
                <w:left w:val="nil"/>
                <w:bottom w:val="nil"/>
                <w:right w:val="nil"/>
                <w:between w:val="nil"/>
              </w:pBdr>
              <w:ind w:left="-112"/>
              <w:jc w:val="left"/>
              <w:rPr>
                <w:rFonts w:ascii="Cambria" w:eastAsia="Cambria" w:hAnsi="Cambria" w:cs="Cambria"/>
              </w:rPr>
            </w:pPr>
            <w:proofErr w:type="spellStart"/>
            <w:r w:rsidRPr="005D550B">
              <w:rPr>
                <w:rFonts w:ascii="Cambria" w:eastAsia="Cambria" w:hAnsi="Cambria" w:cs="Cambria"/>
              </w:rPr>
              <w:t>Ngada</w:t>
            </w:r>
            <w:proofErr w:type="spellEnd"/>
            <w:r w:rsidR="002765E7">
              <w:rPr>
                <w:rFonts w:ascii="Cambria" w:eastAsia="Cambria" w:hAnsi="Cambria" w:cs="Cambria"/>
              </w:rPr>
              <w:t xml:space="preserve"> Regency</w:t>
            </w:r>
          </w:p>
        </w:tc>
        <w:tc>
          <w:tcPr>
            <w:tcW w:w="1350" w:type="dxa"/>
            <w:tcBorders>
              <w:top w:val="single" w:sz="4" w:space="0" w:color="auto"/>
            </w:tcBorders>
            <w:vAlign w:val="top"/>
          </w:tcPr>
          <w:p w14:paraId="6B15E9B0" w14:textId="5DDD73EA"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1</w:t>
            </w:r>
            <w:r w:rsidR="00BC3DDB">
              <w:rPr>
                <w:rFonts w:ascii="Cambria" w:eastAsia="Cambria" w:hAnsi="Cambria" w:cs="Cambria"/>
              </w:rPr>
              <w:t>,</w:t>
            </w:r>
            <w:r w:rsidRPr="005D550B">
              <w:rPr>
                <w:rFonts w:ascii="Cambria" w:eastAsia="Cambria" w:hAnsi="Cambria" w:cs="Cambria"/>
              </w:rPr>
              <w:t>020</w:t>
            </w:r>
            <w:r w:rsidR="00BC3DDB">
              <w:rPr>
                <w:rFonts w:ascii="Cambria" w:eastAsia="Cambria" w:hAnsi="Cambria" w:cs="Cambria"/>
              </w:rPr>
              <w:t>.</w:t>
            </w:r>
            <w:r w:rsidRPr="005D550B">
              <w:rPr>
                <w:rFonts w:ascii="Cambria" w:eastAsia="Cambria" w:hAnsi="Cambria" w:cs="Cambria"/>
              </w:rPr>
              <w:t>1</w:t>
            </w:r>
            <w:r w:rsidR="00BC3DDB">
              <w:rPr>
                <w:rFonts w:ascii="Cambria" w:eastAsia="Cambria" w:hAnsi="Cambria" w:cs="Cambria"/>
              </w:rPr>
              <w:t>8</w:t>
            </w:r>
          </w:p>
        </w:tc>
        <w:tc>
          <w:tcPr>
            <w:tcW w:w="1350" w:type="dxa"/>
            <w:tcBorders>
              <w:top w:val="single" w:sz="4" w:space="0" w:color="auto"/>
            </w:tcBorders>
            <w:vAlign w:val="top"/>
          </w:tcPr>
          <w:p w14:paraId="42B2F8DA" w14:textId="546A7901" w:rsidR="005D550B" w:rsidRPr="00B50008" w:rsidRDefault="005D550B" w:rsidP="004E7B71">
            <w:pPr>
              <w:pBdr>
                <w:top w:val="nil"/>
                <w:left w:val="nil"/>
                <w:bottom w:val="nil"/>
                <w:right w:val="nil"/>
                <w:between w:val="nil"/>
              </w:pBdr>
              <w:ind w:left="-112"/>
              <w:jc w:val="left"/>
              <w:rPr>
                <w:rFonts w:ascii="Cambria" w:eastAsia="Cambria" w:hAnsi="Cambria" w:cs="Cambria"/>
                <w:i/>
                <w:iCs/>
              </w:rPr>
            </w:pPr>
            <w:r w:rsidRPr="00B50008">
              <w:rPr>
                <w:rFonts w:ascii="Cambria" w:eastAsia="Cambria" w:hAnsi="Cambria" w:cs="Cambria"/>
                <w:i/>
                <w:iCs/>
              </w:rPr>
              <w:t>-</w:t>
            </w:r>
          </w:p>
        </w:tc>
        <w:tc>
          <w:tcPr>
            <w:tcW w:w="1350" w:type="dxa"/>
            <w:tcBorders>
              <w:top w:val="single" w:sz="4" w:space="0" w:color="auto"/>
            </w:tcBorders>
            <w:vAlign w:val="top"/>
          </w:tcPr>
          <w:p w14:paraId="30405904" w14:textId="13B1034B" w:rsidR="005D550B" w:rsidRPr="005D550B" w:rsidRDefault="005D550B" w:rsidP="005D550B">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w:t>
            </w:r>
          </w:p>
        </w:tc>
      </w:tr>
      <w:tr w:rsidR="005D550B" w:rsidRPr="005D550B" w14:paraId="1676F01C" w14:textId="2FA3CC57" w:rsidTr="004E7B71">
        <w:trPr>
          <w:trHeight w:val="20"/>
        </w:trPr>
        <w:tc>
          <w:tcPr>
            <w:tcW w:w="1260" w:type="dxa"/>
            <w:vAlign w:val="top"/>
          </w:tcPr>
          <w:p w14:paraId="2CAA7E7D" w14:textId="0536329B" w:rsidR="005D550B" w:rsidRPr="005D550B" w:rsidRDefault="005D550B" w:rsidP="004E7B71">
            <w:pPr>
              <w:pBdr>
                <w:top w:val="nil"/>
                <w:left w:val="nil"/>
                <w:bottom w:val="nil"/>
                <w:right w:val="nil"/>
                <w:between w:val="nil"/>
              </w:pBdr>
              <w:ind w:left="-112"/>
              <w:jc w:val="left"/>
              <w:rPr>
                <w:rFonts w:ascii="Cambria" w:eastAsia="Cambria" w:hAnsi="Cambria" w:cs="Cambria"/>
              </w:rPr>
            </w:pPr>
            <w:proofErr w:type="spellStart"/>
            <w:r w:rsidRPr="005D550B">
              <w:rPr>
                <w:rFonts w:ascii="Cambria" w:eastAsia="Cambria" w:hAnsi="Cambria" w:cs="Cambria"/>
              </w:rPr>
              <w:t>Nage</w:t>
            </w:r>
            <w:proofErr w:type="spellEnd"/>
          </w:p>
        </w:tc>
        <w:tc>
          <w:tcPr>
            <w:tcW w:w="1980" w:type="dxa"/>
            <w:vAlign w:val="top"/>
          </w:tcPr>
          <w:p w14:paraId="44E60AF7" w14:textId="4780D31E" w:rsidR="005D550B" w:rsidRPr="005D550B" w:rsidRDefault="002765E7" w:rsidP="004E7B71">
            <w:pPr>
              <w:pBdr>
                <w:top w:val="nil"/>
                <w:left w:val="nil"/>
                <w:bottom w:val="nil"/>
                <w:right w:val="nil"/>
                <w:between w:val="nil"/>
              </w:pBdr>
              <w:ind w:left="-112"/>
              <w:jc w:val="left"/>
              <w:rPr>
                <w:rFonts w:ascii="Cambria" w:eastAsia="Cambria" w:hAnsi="Cambria" w:cs="Cambria"/>
              </w:rPr>
            </w:pPr>
            <w:r w:rsidRPr="002765E7">
              <w:rPr>
                <w:rFonts w:ascii="Cambria" w:eastAsia="Cambria" w:hAnsi="Cambria" w:cs="Cambria"/>
              </w:rPr>
              <w:t>Decision of the Minister of Energy and Mineral Number</w:t>
            </w:r>
            <w:r>
              <w:rPr>
                <w:rFonts w:ascii="Cambria" w:eastAsia="Cambria" w:hAnsi="Cambria" w:cs="Cambria"/>
              </w:rPr>
              <w:t xml:space="preserve"> </w:t>
            </w:r>
            <w:r w:rsidR="005D550B" w:rsidRPr="005D550B">
              <w:rPr>
                <w:rFonts w:ascii="Cambria" w:eastAsia="Cambria" w:hAnsi="Cambria" w:cs="Cambria"/>
              </w:rPr>
              <w:t>225.K/EK.01/MEM.E/2024</w:t>
            </w:r>
          </w:p>
          <w:p w14:paraId="23C34D3D" w14:textId="55DE1C0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260" w:type="dxa"/>
            <w:vAlign w:val="top"/>
          </w:tcPr>
          <w:p w14:paraId="43F233F1" w14:textId="10E22238" w:rsidR="005D550B" w:rsidRPr="005D550B" w:rsidRDefault="005D550B" w:rsidP="004E7B71">
            <w:pPr>
              <w:pBdr>
                <w:top w:val="nil"/>
                <w:left w:val="nil"/>
                <w:bottom w:val="nil"/>
                <w:right w:val="nil"/>
                <w:between w:val="nil"/>
              </w:pBdr>
              <w:ind w:left="-112"/>
              <w:jc w:val="left"/>
              <w:rPr>
                <w:rFonts w:ascii="Cambria" w:eastAsia="Cambria" w:hAnsi="Cambria" w:cs="Cambria"/>
              </w:rPr>
            </w:pPr>
            <w:proofErr w:type="spellStart"/>
            <w:r w:rsidRPr="005D550B">
              <w:rPr>
                <w:rFonts w:ascii="Cambria" w:eastAsia="Cambria" w:hAnsi="Cambria" w:cs="Cambria"/>
              </w:rPr>
              <w:t>Nagekeo</w:t>
            </w:r>
            <w:proofErr w:type="spellEnd"/>
            <w:r w:rsidR="002765E7">
              <w:rPr>
                <w:rFonts w:ascii="Cambria" w:eastAsia="Cambria" w:hAnsi="Cambria" w:cs="Cambria"/>
              </w:rPr>
              <w:t xml:space="preserve"> </w:t>
            </w:r>
            <w:r w:rsidR="002765E7" w:rsidRPr="002765E7">
              <w:rPr>
                <w:rFonts w:ascii="Cambria" w:eastAsia="Cambria" w:hAnsi="Cambria" w:cs="Cambria"/>
              </w:rPr>
              <w:t>Regency</w:t>
            </w:r>
          </w:p>
        </w:tc>
        <w:tc>
          <w:tcPr>
            <w:tcW w:w="1350" w:type="dxa"/>
            <w:vAlign w:val="top"/>
          </w:tcPr>
          <w:p w14:paraId="3DBF7DF1" w14:textId="6D72EACE"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10</w:t>
            </w:r>
            <w:r w:rsidR="00BC3DDB">
              <w:rPr>
                <w:rFonts w:ascii="Cambria" w:eastAsia="Cambria" w:hAnsi="Cambria" w:cs="Cambria"/>
              </w:rPr>
              <w:t>,</w:t>
            </w:r>
            <w:r w:rsidRPr="005D550B">
              <w:rPr>
                <w:rFonts w:ascii="Cambria" w:eastAsia="Cambria" w:hAnsi="Cambria" w:cs="Cambria"/>
              </w:rPr>
              <w:t>688</w:t>
            </w:r>
            <w:r w:rsidR="00BC3DDB">
              <w:rPr>
                <w:rFonts w:ascii="Cambria" w:eastAsia="Cambria" w:hAnsi="Cambria" w:cs="Cambria"/>
              </w:rPr>
              <w:t>.</w:t>
            </w:r>
            <w:r w:rsidRPr="005D550B">
              <w:rPr>
                <w:rFonts w:ascii="Cambria" w:eastAsia="Cambria" w:hAnsi="Cambria" w:cs="Cambria"/>
              </w:rPr>
              <w:t>51</w:t>
            </w:r>
          </w:p>
        </w:tc>
        <w:tc>
          <w:tcPr>
            <w:tcW w:w="1350" w:type="dxa"/>
            <w:vAlign w:val="top"/>
          </w:tcPr>
          <w:p w14:paraId="764F54C6" w14:textId="2CAA08BD" w:rsidR="005D550B" w:rsidRPr="00B50008" w:rsidRDefault="005D550B" w:rsidP="004E7B71">
            <w:pPr>
              <w:pBdr>
                <w:top w:val="nil"/>
                <w:left w:val="nil"/>
                <w:bottom w:val="nil"/>
                <w:right w:val="nil"/>
                <w:between w:val="nil"/>
              </w:pBdr>
              <w:ind w:left="-112"/>
              <w:jc w:val="left"/>
              <w:rPr>
                <w:rFonts w:ascii="Cambria" w:eastAsia="Cambria" w:hAnsi="Cambria" w:cs="Cambria"/>
                <w:i/>
                <w:iCs/>
              </w:rPr>
            </w:pPr>
            <w:r w:rsidRPr="00B50008">
              <w:rPr>
                <w:rFonts w:ascii="Cambria" w:eastAsia="Cambria" w:hAnsi="Cambria" w:cs="Cambria"/>
                <w:i/>
                <w:iCs/>
              </w:rPr>
              <w:t xml:space="preserve">   -</w:t>
            </w:r>
          </w:p>
        </w:tc>
        <w:tc>
          <w:tcPr>
            <w:tcW w:w="1350" w:type="dxa"/>
            <w:vAlign w:val="top"/>
          </w:tcPr>
          <w:p w14:paraId="39E2FE52" w14:textId="1CB7831A" w:rsidR="005D550B" w:rsidRPr="005D550B" w:rsidRDefault="005D550B" w:rsidP="005D550B">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w:t>
            </w:r>
          </w:p>
        </w:tc>
      </w:tr>
      <w:tr w:rsidR="005D550B" w:rsidRPr="005D550B" w14:paraId="530A6FB2" w14:textId="54436C06" w:rsidTr="004E7B71">
        <w:trPr>
          <w:trHeight w:val="20"/>
        </w:trPr>
        <w:tc>
          <w:tcPr>
            <w:tcW w:w="1260" w:type="dxa"/>
            <w:vMerge w:val="restart"/>
            <w:vAlign w:val="top"/>
          </w:tcPr>
          <w:p w14:paraId="75496DEE" w14:textId="10A0CD53" w:rsidR="005D550B" w:rsidRPr="005D550B" w:rsidRDefault="005D550B" w:rsidP="004E7B71">
            <w:pPr>
              <w:pBdr>
                <w:top w:val="nil"/>
                <w:left w:val="nil"/>
                <w:bottom w:val="nil"/>
                <w:right w:val="nil"/>
                <w:between w:val="nil"/>
              </w:pBdr>
              <w:ind w:left="-112"/>
              <w:jc w:val="left"/>
              <w:rPr>
                <w:rFonts w:ascii="Cambria" w:eastAsia="Cambria" w:hAnsi="Cambria" w:cs="Cambria"/>
              </w:rPr>
            </w:pPr>
            <w:proofErr w:type="spellStart"/>
            <w:r w:rsidRPr="005D550B">
              <w:rPr>
                <w:rFonts w:ascii="Cambria" w:eastAsia="Cambria" w:hAnsi="Cambria" w:cs="Cambria"/>
              </w:rPr>
              <w:t>Wae</w:t>
            </w:r>
            <w:proofErr w:type="spellEnd"/>
            <w:r w:rsidRPr="005D550B">
              <w:rPr>
                <w:rFonts w:ascii="Cambria" w:eastAsia="Cambria" w:hAnsi="Cambria" w:cs="Cambria"/>
              </w:rPr>
              <w:t xml:space="preserve"> Sano</w:t>
            </w:r>
          </w:p>
        </w:tc>
        <w:tc>
          <w:tcPr>
            <w:tcW w:w="1980" w:type="dxa"/>
            <w:vMerge w:val="restart"/>
            <w:vAlign w:val="top"/>
          </w:tcPr>
          <w:p w14:paraId="2B59E5E8" w14:textId="35A34EC4" w:rsidR="005D550B" w:rsidRPr="005D550B" w:rsidRDefault="002765E7" w:rsidP="004E7B71">
            <w:pPr>
              <w:pBdr>
                <w:top w:val="nil"/>
                <w:left w:val="nil"/>
                <w:bottom w:val="nil"/>
                <w:right w:val="nil"/>
                <w:between w:val="nil"/>
              </w:pBdr>
              <w:ind w:left="-112"/>
              <w:jc w:val="left"/>
              <w:rPr>
                <w:rFonts w:ascii="Cambria" w:eastAsia="Cambria" w:hAnsi="Cambria" w:cs="Cambria"/>
              </w:rPr>
            </w:pPr>
            <w:r w:rsidRPr="002765E7">
              <w:rPr>
                <w:rFonts w:ascii="Cambria" w:eastAsia="Cambria" w:hAnsi="Cambria" w:cs="Cambria"/>
              </w:rPr>
              <w:t>Decision of the Minister of Energy and Mineral Number</w:t>
            </w:r>
            <w:r w:rsidR="005D550B" w:rsidRPr="005D550B">
              <w:rPr>
                <w:rFonts w:ascii="Cambria" w:eastAsia="Cambria" w:hAnsi="Cambria" w:cs="Cambria"/>
              </w:rPr>
              <w:t>4330 K/30/MEM/</w:t>
            </w:r>
          </w:p>
          <w:p w14:paraId="539BFB34"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2017</w:t>
            </w:r>
          </w:p>
          <w:p w14:paraId="1D0B3C06" w14:textId="7331ABE2"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260" w:type="dxa"/>
            <w:vMerge w:val="restart"/>
            <w:vAlign w:val="top"/>
          </w:tcPr>
          <w:p w14:paraId="6E4AF269" w14:textId="097E42DD" w:rsidR="005D550B" w:rsidRPr="005D550B" w:rsidRDefault="002765E7" w:rsidP="004E7B71">
            <w:pPr>
              <w:pBdr>
                <w:top w:val="nil"/>
                <w:left w:val="nil"/>
                <w:bottom w:val="nil"/>
                <w:right w:val="nil"/>
                <w:between w:val="nil"/>
              </w:pBdr>
              <w:ind w:left="-112"/>
              <w:jc w:val="left"/>
              <w:rPr>
                <w:rFonts w:ascii="Cambria" w:eastAsia="Cambria" w:hAnsi="Cambria" w:cs="Cambria"/>
              </w:rPr>
            </w:pPr>
            <w:r>
              <w:rPr>
                <w:rFonts w:ascii="Cambria" w:eastAsia="Cambria" w:hAnsi="Cambria" w:cs="Cambria"/>
              </w:rPr>
              <w:t>West</w:t>
            </w:r>
            <w:r w:rsidR="005D550B" w:rsidRPr="005D550B">
              <w:rPr>
                <w:rFonts w:ascii="Cambria" w:eastAsia="Cambria" w:hAnsi="Cambria" w:cs="Cambria"/>
              </w:rPr>
              <w:t xml:space="preserve"> </w:t>
            </w:r>
            <w:proofErr w:type="spellStart"/>
            <w:r w:rsidR="005D550B" w:rsidRPr="005D550B">
              <w:rPr>
                <w:rFonts w:ascii="Cambria" w:eastAsia="Cambria" w:hAnsi="Cambria" w:cs="Cambria"/>
              </w:rPr>
              <w:t>Manggarai</w:t>
            </w:r>
            <w:proofErr w:type="spellEnd"/>
            <w:r w:rsidR="005D550B" w:rsidRPr="005D550B">
              <w:rPr>
                <w:rFonts w:ascii="Cambria" w:eastAsia="Cambria" w:hAnsi="Cambria" w:cs="Cambria"/>
              </w:rPr>
              <w:t xml:space="preserve"> </w:t>
            </w:r>
            <w:r w:rsidRPr="002765E7">
              <w:rPr>
                <w:rFonts w:ascii="Cambria" w:eastAsia="Cambria" w:hAnsi="Cambria" w:cs="Cambria"/>
              </w:rPr>
              <w:t>Regency</w:t>
            </w:r>
          </w:p>
        </w:tc>
        <w:tc>
          <w:tcPr>
            <w:tcW w:w="1350" w:type="dxa"/>
            <w:vMerge w:val="restart"/>
            <w:vAlign w:val="top"/>
          </w:tcPr>
          <w:p w14:paraId="4C428DFF" w14:textId="045ADCEF"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12</w:t>
            </w:r>
            <w:r w:rsidR="00BC3DDB">
              <w:rPr>
                <w:rFonts w:ascii="Cambria" w:eastAsia="Cambria" w:hAnsi="Cambria" w:cs="Cambria"/>
              </w:rPr>
              <w:t>,</w:t>
            </w:r>
            <w:r w:rsidRPr="005D550B">
              <w:rPr>
                <w:rFonts w:ascii="Cambria" w:eastAsia="Cambria" w:hAnsi="Cambria" w:cs="Cambria"/>
              </w:rPr>
              <w:t>483</w:t>
            </w:r>
            <w:r w:rsidR="00BC3DDB">
              <w:rPr>
                <w:rFonts w:ascii="Cambria" w:eastAsia="Cambria" w:hAnsi="Cambria" w:cs="Cambria"/>
              </w:rPr>
              <w:t>.</w:t>
            </w:r>
            <w:r w:rsidRPr="005D550B">
              <w:rPr>
                <w:rFonts w:ascii="Cambria" w:eastAsia="Cambria" w:hAnsi="Cambria" w:cs="Cambria"/>
              </w:rPr>
              <w:t>43</w:t>
            </w:r>
          </w:p>
        </w:tc>
        <w:tc>
          <w:tcPr>
            <w:tcW w:w="1350" w:type="dxa"/>
            <w:vAlign w:val="top"/>
          </w:tcPr>
          <w:p w14:paraId="304E4030" w14:textId="2EAC969E" w:rsidR="005D550B" w:rsidRPr="00B50008" w:rsidRDefault="005D550B" w:rsidP="004E7B71">
            <w:pPr>
              <w:pBdr>
                <w:top w:val="nil"/>
                <w:left w:val="nil"/>
                <w:bottom w:val="nil"/>
                <w:right w:val="nil"/>
                <w:between w:val="nil"/>
              </w:pBdr>
              <w:ind w:left="-112"/>
              <w:jc w:val="left"/>
              <w:rPr>
                <w:rFonts w:ascii="Cambria" w:eastAsia="Cambria" w:hAnsi="Cambria" w:cs="Cambria"/>
                <w:i/>
                <w:iCs/>
              </w:rPr>
            </w:pPr>
            <w:r w:rsidRPr="00B50008">
              <w:rPr>
                <w:i/>
                <w:iCs/>
                <w:lang w:val="en-US"/>
              </w:rPr>
              <w:t>Jamal</w:t>
            </w:r>
          </w:p>
        </w:tc>
        <w:tc>
          <w:tcPr>
            <w:tcW w:w="1350" w:type="dxa"/>
            <w:vAlign w:val="top"/>
          </w:tcPr>
          <w:p w14:paraId="39941306" w14:textId="6DDF7B73" w:rsidR="005D550B" w:rsidRPr="005D550B" w:rsidRDefault="004E7B71" w:rsidP="005D550B">
            <w:pPr>
              <w:pBdr>
                <w:top w:val="nil"/>
                <w:left w:val="nil"/>
                <w:bottom w:val="nil"/>
                <w:right w:val="nil"/>
                <w:between w:val="nil"/>
              </w:pBdr>
              <w:ind w:left="-112"/>
              <w:jc w:val="left"/>
              <w:rPr>
                <w:rFonts w:ascii="Cambria" w:eastAsia="Cambria" w:hAnsi="Cambria" w:cs="Cambria"/>
              </w:rPr>
            </w:pPr>
            <w:r>
              <w:rPr>
                <w:rFonts w:ascii="Cambria" w:eastAsia="Cambria" w:hAnsi="Cambria" w:cs="Cambria"/>
              </w:rPr>
              <w:t>-</w:t>
            </w:r>
          </w:p>
        </w:tc>
      </w:tr>
      <w:tr w:rsidR="005D550B" w:rsidRPr="005D550B" w14:paraId="3DBB4AFC" w14:textId="77777777" w:rsidTr="004E7B71">
        <w:trPr>
          <w:trHeight w:val="20"/>
        </w:trPr>
        <w:tc>
          <w:tcPr>
            <w:tcW w:w="1260" w:type="dxa"/>
            <w:vMerge/>
            <w:vAlign w:val="top"/>
          </w:tcPr>
          <w:p w14:paraId="1B9925C6"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980" w:type="dxa"/>
            <w:vMerge/>
            <w:vAlign w:val="top"/>
          </w:tcPr>
          <w:p w14:paraId="5D4AD3DA"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260" w:type="dxa"/>
            <w:vMerge/>
            <w:vAlign w:val="top"/>
          </w:tcPr>
          <w:p w14:paraId="1AAE3182"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350" w:type="dxa"/>
            <w:vMerge/>
            <w:vAlign w:val="top"/>
          </w:tcPr>
          <w:p w14:paraId="27ADFD81"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350" w:type="dxa"/>
            <w:vAlign w:val="top"/>
          </w:tcPr>
          <w:p w14:paraId="58E2F6F5" w14:textId="6166BACC" w:rsidR="005D550B" w:rsidRPr="00B50008" w:rsidRDefault="005D550B" w:rsidP="004E7B71">
            <w:pPr>
              <w:pBdr>
                <w:top w:val="nil"/>
                <w:left w:val="nil"/>
                <w:bottom w:val="nil"/>
                <w:right w:val="nil"/>
                <w:between w:val="nil"/>
              </w:pBdr>
              <w:ind w:left="-112"/>
              <w:jc w:val="left"/>
              <w:rPr>
                <w:rFonts w:ascii="Cambria" w:eastAsia="Cambria" w:hAnsi="Cambria" w:cs="Cambria"/>
                <w:i/>
                <w:iCs/>
              </w:rPr>
            </w:pPr>
            <w:proofErr w:type="spellStart"/>
            <w:r w:rsidRPr="00B50008">
              <w:rPr>
                <w:i/>
                <w:iCs/>
                <w:lang w:val="en-US"/>
              </w:rPr>
              <w:t>Bereh</w:t>
            </w:r>
            <w:proofErr w:type="spellEnd"/>
          </w:p>
        </w:tc>
        <w:tc>
          <w:tcPr>
            <w:tcW w:w="1350" w:type="dxa"/>
            <w:vAlign w:val="top"/>
          </w:tcPr>
          <w:p w14:paraId="1628FE95" w14:textId="68E4F1AC" w:rsidR="005D550B" w:rsidRPr="005D550B" w:rsidRDefault="005D550B" w:rsidP="005D550B">
            <w:pPr>
              <w:pBdr>
                <w:top w:val="nil"/>
                <w:left w:val="nil"/>
                <w:bottom w:val="nil"/>
                <w:right w:val="nil"/>
                <w:between w:val="nil"/>
              </w:pBdr>
              <w:ind w:left="-112"/>
              <w:jc w:val="left"/>
              <w:rPr>
                <w:rFonts w:ascii="Cambria" w:eastAsia="Cambria" w:hAnsi="Cambria" w:cs="Cambria"/>
              </w:rPr>
            </w:pPr>
            <w:r w:rsidRPr="005D550B">
              <w:t>-</w:t>
            </w:r>
          </w:p>
        </w:tc>
      </w:tr>
      <w:tr w:rsidR="005D550B" w:rsidRPr="005D550B" w14:paraId="3EF3B1AC" w14:textId="77777777" w:rsidTr="004E7B71">
        <w:trPr>
          <w:trHeight w:val="20"/>
        </w:trPr>
        <w:tc>
          <w:tcPr>
            <w:tcW w:w="1260" w:type="dxa"/>
            <w:vMerge w:val="restart"/>
            <w:vAlign w:val="top"/>
          </w:tcPr>
          <w:p w14:paraId="373AB827" w14:textId="046BF886"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Oka Ile Ange</w:t>
            </w:r>
          </w:p>
        </w:tc>
        <w:tc>
          <w:tcPr>
            <w:tcW w:w="1980" w:type="dxa"/>
            <w:vMerge w:val="restart"/>
            <w:vAlign w:val="top"/>
          </w:tcPr>
          <w:p w14:paraId="62B772ED" w14:textId="6EA0F53E" w:rsidR="005D550B" w:rsidRPr="005D550B" w:rsidRDefault="002765E7" w:rsidP="004E7B71">
            <w:pPr>
              <w:pBdr>
                <w:top w:val="nil"/>
                <w:left w:val="nil"/>
                <w:bottom w:val="nil"/>
                <w:right w:val="nil"/>
                <w:between w:val="nil"/>
              </w:pBdr>
              <w:ind w:left="-112"/>
              <w:jc w:val="left"/>
              <w:rPr>
                <w:rFonts w:ascii="Cambria" w:eastAsia="Cambria" w:hAnsi="Cambria" w:cs="Cambria"/>
              </w:rPr>
            </w:pPr>
            <w:r w:rsidRPr="002765E7">
              <w:rPr>
                <w:rFonts w:ascii="Cambria" w:eastAsia="Cambria" w:hAnsi="Cambria" w:cs="Cambria"/>
              </w:rPr>
              <w:t>Decision of the Minister of Energy and Mineral Number</w:t>
            </w:r>
            <w:r>
              <w:rPr>
                <w:rFonts w:ascii="Cambria" w:eastAsia="Cambria" w:hAnsi="Cambria" w:cs="Cambria"/>
              </w:rPr>
              <w:t xml:space="preserve"> </w:t>
            </w:r>
            <w:r w:rsidR="005D550B" w:rsidRPr="005D550B">
              <w:rPr>
                <w:rFonts w:ascii="Cambria" w:eastAsia="Cambria" w:hAnsi="Cambria" w:cs="Cambria"/>
              </w:rPr>
              <w:t>2849.K/30/MEM/2012</w:t>
            </w:r>
          </w:p>
        </w:tc>
        <w:tc>
          <w:tcPr>
            <w:tcW w:w="1260" w:type="dxa"/>
            <w:vMerge w:val="restart"/>
            <w:vAlign w:val="top"/>
          </w:tcPr>
          <w:p w14:paraId="32C0E83B" w14:textId="5BC5896F" w:rsidR="005D550B" w:rsidRPr="005D550B" w:rsidRDefault="002765E7" w:rsidP="004E7B71">
            <w:pPr>
              <w:pBdr>
                <w:top w:val="nil"/>
                <w:left w:val="nil"/>
                <w:bottom w:val="nil"/>
                <w:right w:val="nil"/>
                <w:between w:val="nil"/>
              </w:pBdr>
              <w:ind w:left="-112"/>
              <w:jc w:val="left"/>
              <w:rPr>
                <w:rFonts w:ascii="Cambria" w:eastAsia="Cambria" w:hAnsi="Cambria" w:cs="Cambria"/>
              </w:rPr>
            </w:pPr>
            <w:r>
              <w:rPr>
                <w:rFonts w:ascii="Cambria" w:eastAsia="Cambria" w:hAnsi="Cambria" w:cs="Cambria"/>
              </w:rPr>
              <w:t>East</w:t>
            </w:r>
            <w:r w:rsidR="005D550B" w:rsidRPr="005D550B">
              <w:rPr>
                <w:rFonts w:ascii="Cambria" w:eastAsia="Cambria" w:hAnsi="Cambria" w:cs="Cambria"/>
              </w:rPr>
              <w:t xml:space="preserve"> Flores </w:t>
            </w:r>
            <w:r w:rsidRPr="002765E7">
              <w:rPr>
                <w:rFonts w:ascii="Cambria" w:eastAsia="Cambria" w:hAnsi="Cambria" w:cs="Cambria"/>
              </w:rPr>
              <w:t>Regency</w:t>
            </w:r>
          </w:p>
        </w:tc>
        <w:tc>
          <w:tcPr>
            <w:tcW w:w="1350" w:type="dxa"/>
            <w:vMerge w:val="restart"/>
            <w:vAlign w:val="top"/>
          </w:tcPr>
          <w:p w14:paraId="2D99FC1F" w14:textId="0A832686"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12</w:t>
            </w:r>
            <w:r w:rsidR="00BC3DDB">
              <w:rPr>
                <w:rFonts w:ascii="Cambria" w:eastAsia="Cambria" w:hAnsi="Cambria" w:cs="Cambria"/>
              </w:rPr>
              <w:t>,</w:t>
            </w:r>
            <w:r w:rsidRPr="005D550B">
              <w:rPr>
                <w:rFonts w:ascii="Cambria" w:eastAsia="Cambria" w:hAnsi="Cambria" w:cs="Cambria"/>
              </w:rPr>
              <w:t>803</w:t>
            </w:r>
            <w:r w:rsidR="00BC3DDB">
              <w:rPr>
                <w:rFonts w:ascii="Cambria" w:eastAsia="Cambria" w:hAnsi="Cambria" w:cs="Cambria"/>
              </w:rPr>
              <w:t>.</w:t>
            </w:r>
            <w:r w:rsidRPr="005D550B">
              <w:rPr>
                <w:rFonts w:ascii="Cambria" w:eastAsia="Cambria" w:hAnsi="Cambria" w:cs="Cambria"/>
              </w:rPr>
              <w:t>30</w:t>
            </w:r>
          </w:p>
        </w:tc>
        <w:tc>
          <w:tcPr>
            <w:tcW w:w="1350" w:type="dxa"/>
            <w:vAlign w:val="top"/>
          </w:tcPr>
          <w:p w14:paraId="0769FF31" w14:textId="0F656EF8" w:rsidR="005D550B" w:rsidRPr="00B50008" w:rsidRDefault="005D550B" w:rsidP="004E7B71">
            <w:pPr>
              <w:pBdr>
                <w:top w:val="nil"/>
                <w:left w:val="nil"/>
                <w:bottom w:val="nil"/>
                <w:right w:val="nil"/>
                <w:between w:val="nil"/>
              </w:pBdr>
              <w:ind w:left="-112"/>
              <w:jc w:val="left"/>
              <w:rPr>
                <w:rFonts w:ascii="Cambria" w:eastAsia="Cambria" w:hAnsi="Cambria" w:cs="Cambria"/>
                <w:i/>
                <w:iCs/>
              </w:rPr>
            </w:pPr>
            <w:proofErr w:type="spellStart"/>
            <w:r w:rsidRPr="00B50008">
              <w:rPr>
                <w:rFonts w:ascii="Cambria" w:eastAsia="Cambria" w:hAnsi="Cambria" w:cs="Cambria"/>
                <w:i/>
                <w:iCs/>
              </w:rPr>
              <w:t>Belang</w:t>
            </w:r>
            <w:proofErr w:type="spellEnd"/>
          </w:p>
        </w:tc>
        <w:tc>
          <w:tcPr>
            <w:tcW w:w="1350" w:type="dxa"/>
            <w:vMerge w:val="restart"/>
            <w:vAlign w:val="top"/>
          </w:tcPr>
          <w:p w14:paraId="086FAAAF" w14:textId="23A5B2CE" w:rsidR="005D550B" w:rsidRPr="005D550B" w:rsidRDefault="005D550B" w:rsidP="005D550B">
            <w:pPr>
              <w:pBdr>
                <w:top w:val="nil"/>
                <w:left w:val="nil"/>
                <w:bottom w:val="nil"/>
                <w:right w:val="nil"/>
                <w:between w:val="nil"/>
              </w:pBdr>
              <w:ind w:left="-112"/>
              <w:jc w:val="left"/>
              <w:rPr>
                <w:rFonts w:ascii="Cambria" w:eastAsia="Cambria" w:hAnsi="Cambria" w:cs="Cambria"/>
              </w:rPr>
            </w:pPr>
            <w:proofErr w:type="spellStart"/>
            <w:r w:rsidRPr="005D550B">
              <w:rPr>
                <w:rFonts w:ascii="Cambria" w:eastAsia="Cambria" w:hAnsi="Cambria" w:cs="Cambria"/>
              </w:rPr>
              <w:t>Lewo</w:t>
            </w:r>
            <w:proofErr w:type="spellEnd"/>
            <w:r w:rsidRPr="005D550B">
              <w:rPr>
                <w:rFonts w:ascii="Cambria" w:eastAsia="Cambria" w:hAnsi="Cambria" w:cs="Cambria"/>
              </w:rPr>
              <w:t xml:space="preserve"> Lema</w:t>
            </w:r>
          </w:p>
        </w:tc>
      </w:tr>
      <w:tr w:rsidR="005D550B" w:rsidRPr="005D550B" w14:paraId="1EB51503" w14:textId="77777777" w:rsidTr="004E7B71">
        <w:trPr>
          <w:trHeight w:val="20"/>
        </w:trPr>
        <w:tc>
          <w:tcPr>
            <w:tcW w:w="1260" w:type="dxa"/>
            <w:vMerge/>
            <w:vAlign w:val="top"/>
          </w:tcPr>
          <w:p w14:paraId="6C1C93E2"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980" w:type="dxa"/>
            <w:vMerge/>
            <w:vAlign w:val="top"/>
          </w:tcPr>
          <w:p w14:paraId="1F6240F6"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260" w:type="dxa"/>
            <w:vMerge/>
            <w:vAlign w:val="top"/>
          </w:tcPr>
          <w:p w14:paraId="1762DA96"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350" w:type="dxa"/>
            <w:vMerge/>
            <w:vAlign w:val="top"/>
          </w:tcPr>
          <w:p w14:paraId="46686F54"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350" w:type="dxa"/>
            <w:vAlign w:val="top"/>
          </w:tcPr>
          <w:p w14:paraId="2F83C441" w14:textId="61AA34C7" w:rsidR="005D550B" w:rsidRPr="00B50008" w:rsidRDefault="005D550B" w:rsidP="004E7B71">
            <w:pPr>
              <w:pBdr>
                <w:top w:val="nil"/>
                <w:left w:val="nil"/>
                <w:bottom w:val="nil"/>
                <w:right w:val="nil"/>
                <w:between w:val="nil"/>
              </w:pBdr>
              <w:ind w:left="-112"/>
              <w:jc w:val="left"/>
              <w:rPr>
                <w:rFonts w:ascii="Cambria" w:eastAsia="Cambria" w:hAnsi="Cambria" w:cs="Cambria"/>
                <w:i/>
                <w:iCs/>
              </w:rPr>
            </w:pPr>
            <w:r w:rsidRPr="00B50008">
              <w:rPr>
                <w:rFonts w:ascii="Cambria" w:eastAsia="Cambria" w:hAnsi="Cambria" w:cs="Cambria"/>
                <w:i/>
                <w:iCs/>
              </w:rPr>
              <w:t>Bama</w:t>
            </w:r>
          </w:p>
        </w:tc>
        <w:tc>
          <w:tcPr>
            <w:tcW w:w="1350" w:type="dxa"/>
            <w:vMerge/>
            <w:vAlign w:val="top"/>
          </w:tcPr>
          <w:p w14:paraId="6D0CCA2D" w14:textId="77777777" w:rsidR="005D550B" w:rsidRPr="005D550B" w:rsidRDefault="005D550B" w:rsidP="005D550B">
            <w:pPr>
              <w:pBdr>
                <w:top w:val="nil"/>
                <w:left w:val="nil"/>
                <w:bottom w:val="nil"/>
                <w:right w:val="nil"/>
                <w:between w:val="nil"/>
              </w:pBdr>
              <w:ind w:left="-112"/>
              <w:jc w:val="left"/>
              <w:rPr>
                <w:rFonts w:ascii="Cambria" w:eastAsia="Cambria" w:hAnsi="Cambria" w:cs="Cambria"/>
              </w:rPr>
            </w:pPr>
          </w:p>
        </w:tc>
      </w:tr>
      <w:tr w:rsidR="005D550B" w:rsidRPr="005D550B" w14:paraId="27DEABD4" w14:textId="77777777" w:rsidTr="004E7B71">
        <w:trPr>
          <w:trHeight w:val="20"/>
        </w:trPr>
        <w:tc>
          <w:tcPr>
            <w:tcW w:w="1260" w:type="dxa"/>
            <w:vMerge/>
            <w:vAlign w:val="top"/>
          </w:tcPr>
          <w:p w14:paraId="72D5D641"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980" w:type="dxa"/>
            <w:vMerge/>
            <w:vAlign w:val="top"/>
          </w:tcPr>
          <w:p w14:paraId="10897CF1"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260" w:type="dxa"/>
            <w:vMerge/>
            <w:vAlign w:val="top"/>
          </w:tcPr>
          <w:p w14:paraId="058AF0D0"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350" w:type="dxa"/>
            <w:vMerge/>
            <w:vAlign w:val="top"/>
          </w:tcPr>
          <w:p w14:paraId="3E450513"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350" w:type="dxa"/>
            <w:vAlign w:val="top"/>
          </w:tcPr>
          <w:p w14:paraId="78E07580" w14:textId="0612BCC7" w:rsidR="005D550B" w:rsidRPr="00B50008" w:rsidRDefault="005D550B" w:rsidP="004E7B71">
            <w:pPr>
              <w:pBdr>
                <w:top w:val="nil"/>
                <w:left w:val="nil"/>
                <w:bottom w:val="nil"/>
                <w:right w:val="nil"/>
                <w:between w:val="nil"/>
              </w:pBdr>
              <w:ind w:left="-112"/>
              <w:jc w:val="left"/>
              <w:rPr>
                <w:rFonts w:ascii="Cambria" w:eastAsia="Cambria" w:hAnsi="Cambria" w:cs="Cambria"/>
                <w:i/>
                <w:iCs/>
              </w:rPr>
            </w:pPr>
            <w:r w:rsidRPr="00B50008">
              <w:rPr>
                <w:rFonts w:ascii="Cambria" w:eastAsia="Cambria" w:hAnsi="Cambria" w:cs="Cambria"/>
                <w:i/>
                <w:iCs/>
              </w:rPr>
              <w:t>Lamika</w:t>
            </w:r>
          </w:p>
        </w:tc>
        <w:tc>
          <w:tcPr>
            <w:tcW w:w="1350" w:type="dxa"/>
            <w:vMerge/>
            <w:vAlign w:val="top"/>
          </w:tcPr>
          <w:p w14:paraId="5608BA44" w14:textId="77777777" w:rsidR="005D550B" w:rsidRPr="005D550B" w:rsidRDefault="005D550B" w:rsidP="005D550B">
            <w:pPr>
              <w:pBdr>
                <w:top w:val="nil"/>
                <w:left w:val="nil"/>
                <w:bottom w:val="nil"/>
                <w:right w:val="nil"/>
                <w:between w:val="nil"/>
              </w:pBdr>
              <w:ind w:left="-112"/>
              <w:jc w:val="left"/>
              <w:rPr>
                <w:rFonts w:ascii="Cambria" w:eastAsia="Cambria" w:hAnsi="Cambria" w:cs="Cambria"/>
              </w:rPr>
            </w:pPr>
          </w:p>
        </w:tc>
      </w:tr>
      <w:tr w:rsidR="005D550B" w:rsidRPr="005D550B" w14:paraId="5B6E2CAE" w14:textId="77777777" w:rsidTr="004E7B71">
        <w:trPr>
          <w:trHeight w:val="20"/>
        </w:trPr>
        <w:tc>
          <w:tcPr>
            <w:tcW w:w="1260" w:type="dxa"/>
            <w:vMerge w:val="restart"/>
            <w:vAlign w:val="top"/>
          </w:tcPr>
          <w:p w14:paraId="0018963B" w14:textId="3E201CB3" w:rsidR="005D550B" w:rsidRPr="005D550B" w:rsidRDefault="005D550B" w:rsidP="004E7B71">
            <w:pPr>
              <w:pBdr>
                <w:top w:val="nil"/>
                <w:left w:val="nil"/>
                <w:bottom w:val="nil"/>
                <w:right w:val="nil"/>
                <w:between w:val="nil"/>
              </w:pBdr>
              <w:ind w:left="-112"/>
              <w:jc w:val="left"/>
              <w:rPr>
                <w:rFonts w:ascii="Cambria" w:eastAsia="Cambria" w:hAnsi="Cambria" w:cs="Cambria"/>
              </w:rPr>
            </w:pPr>
            <w:proofErr w:type="spellStart"/>
            <w:r w:rsidRPr="005D550B">
              <w:rPr>
                <w:rFonts w:ascii="Cambria" w:eastAsia="Cambria" w:hAnsi="Cambria" w:cs="Cambria"/>
              </w:rPr>
              <w:t>Ulumbu</w:t>
            </w:r>
            <w:proofErr w:type="spellEnd"/>
          </w:p>
        </w:tc>
        <w:tc>
          <w:tcPr>
            <w:tcW w:w="1980" w:type="dxa"/>
            <w:vMerge w:val="restart"/>
            <w:vAlign w:val="top"/>
          </w:tcPr>
          <w:p w14:paraId="4A480982" w14:textId="453EBA00" w:rsidR="005D550B" w:rsidRPr="005D550B" w:rsidRDefault="002765E7" w:rsidP="004E7B71">
            <w:pPr>
              <w:pBdr>
                <w:top w:val="nil"/>
                <w:left w:val="nil"/>
                <w:bottom w:val="nil"/>
                <w:right w:val="nil"/>
                <w:between w:val="nil"/>
              </w:pBdr>
              <w:ind w:left="-112"/>
              <w:jc w:val="left"/>
              <w:rPr>
                <w:rFonts w:ascii="Cambria" w:eastAsia="Cambria" w:hAnsi="Cambria" w:cs="Cambria"/>
              </w:rPr>
            </w:pPr>
            <w:r w:rsidRPr="002765E7">
              <w:rPr>
                <w:rFonts w:ascii="Cambria" w:eastAsia="Cambria" w:hAnsi="Cambria" w:cs="Cambria"/>
              </w:rPr>
              <w:t>Decision of the Minister of Energy and Mineral Number</w:t>
            </w:r>
            <w:r>
              <w:rPr>
                <w:rFonts w:ascii="Cambria" w:eastAsia="Cambria" w:hAnsi="Cambria" w:cs="Cambria"/>
              </w:rPr>
              <w:t xml:space="preserve"> </w:t>
            </w:r>
            <w:r w:rsidR="005D550B" w:rsidRPr="005D550B">
              <w:rPr>
                <w:rFonts w:ascii="Cambria" w:eastAsia="Cambria" w:hAnsi="Cambria" w:cs="Cambria"/>
              </w:rPr>
              <w:t>2363 K/30/MEM/2014</w:t>
            </w:r>
          </w:p>
        </w:tc>
        <w:tc>
          <w:tcPr>
            <w:tcW w:w="1260" w:type="dxa"/>
            <w:vMerge w:val="restart"/>
            <w:vAlign w:val="top"/>
          </w:tcPr>
          <w:p w14:paraId="48A1A348" w14:textId="643A22CA" w:rsidR="005D550B" w:rsidRPr="005D550B" w:rsidRDefault="005D550B" w:rsidP="004E7B71">
            <w:pPr>
              <w:pBdr>
                <w:top w:val="nil"/>
                <w:left w:val="nil"/>
                <w:bottom w:val="nil"/>
                <w:right w:val="nil"/>
                <w:between w:val="nil"/>
              </w:pBdr>
              <w:ind w:left="-112"/>
              <w:jc w:val="left"/>
              <w:rPr>
                <w:rFonts w:ascii="Cambria" w:eastAsia="Cambria" w:hAnsi="Cambria" w:cs="Cambria"/>
              </w:rPr>
            </w:pPr>
            <w:proofErr w:type="spellStart"/>
            <w:r w:rsidRPr="005D550B">
              <w:rPr>
                <w:rFonts w:ascii="Cambria" w:eastAsia="Cambria" w:hAnsi="Cambria" w:cs="Cambria"/>
              </w:rPr>
              <w:t>Manggarai</w:t>
            </w:r>
            <w:proofErr w:type="spellEnd"/>
            <w:r w:rsidR="002765E7">
              <w:rPr>
                <w:rFonts w:ascii="Cambria" w:eastAsia="Cambria" w:hAnsi="Cambria" w:cs="Cambria"/>
              </w:rPr>
              <w:t xml:space="preserve"> </w:t>
            </w:r>
            <w:r w:rsidR="002765E7" w:rsidRPr="002765E7">
              <w:rPr>
                <w:rFonts w:ascii="Cambria" w:eastAsia="Cambria" w:hAnsi="Cambria" w:cs="Cambria"/>
              </w:rPr>
              <w:t>Regency</w:t>
            </w:r>
          </w:p>
        </w:tc>
        <w:tc>
          <w:tcPr>
            <w:tcW w:w="1350" w:type="dxa"/>
            <w:vMerge w:val="restart"/>
            <w:vAlign w:val="top"/>
          </w:tcPr>
          <w:p w14:paraId="7C01ED93" w14:textId="7914B896"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18</w:t>
            </w:r>
            <w:r w:rsidR="00BC3DDB">
              <w:rPr>
                <w:rFonts w:ascii="Cambria" w:eastAsia="Cambria" w:hAnsi="Cambria" w:cs="Cambria"/>
              </w:rPr>
              <w:t>,</w:t>
            </w:r>
            <w:r w:rsidRPr="005D550B">
              <w:rPr>
                <w:rFonts w:ascii="Cambria" w:eastAsia="Cambria" w:hAnsi="Cambria" w:cs="Cambria"/>
              </w:rPr>
              <w:t>762</w:t>
            </w:r>
            <w:r w:rsidR="00BC3DDB">
              <w:rPr>
                <w:rFonts w:ascii="Cambria" w:eastAsia="Cambria" w:hAnsi="Cambria" w:cs="Cambria"/>
              </w:rPr>
              <w:t>.</w:t>
            </w:r>
            <w:r w:rsidRPr="005D550B">
              <w:rPr>
                <w:rFonts w:ascii="Cambria" w:eastAsia="Cambria" w:hAnsi="Cambria" w:cs="Cambria"/>
              </w:rPr>
              <w:t>00</w:t>
            </w:r>
          </w:p>
        </w:tc>
        <w:tc>
          <w:tcPr>
            <w:tcW w:w="1350" w:type="dxa"/>
            <w:vAlign w:val="top"/>
          </w:tcPr>
          <w:p w14:paraId="71041A3C" w14:textId="6E857298" w:rsidR="005D550B" w:rsidRPr="00B50008" w:rsidRDefault="005D550B" w:rsidP="004E7B71">
            <w:pPr>
              <w:pBdr>
                <w:top w:val="nil"/>
                <w:left w:val="nil"/>
                <w:bottom w:val="nil"/>
                <w:right w:val="nil"/>
                <w:between w:val="nil"/>
              </w:pBdr>
              <w:ind w:left="-112"/>
              <w:jc w:val="left"/>
              <w:rPr>
                <w:rFonts w:ascii="Cambria" w:eastAsia="Cambria" w:hAnsi="Cambria" w:cs="Cambria"/>
                <w:i/>
                <w:iCs/>
              </w:rPr>
            </w:pPr>
            <w:r w:rsidRPr="00B50008">
              <w:rPr>
                <w:i/>
                <w:iCs/>
                <w:lang w:val="en-US"/>
              </w:rPr>
              <w:t>Reo</w:t>
            </w:r>
          </w:p>
        </w:tc>
        <w:tc>
          <w:tcPr>
            <w:tcW w:w="1350" w:type="dxa"/>
            <w:vAlign w:val="top"/>
          </w:tcPr>
          <w:p w14:paraId="456F571F" w14:textId="1EA7EE61" w:rsidR="005D550B" w:rsidRPr="005D550B" w:rsidRDefault="005D550B" w:rsidP="005D550B">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w:t>
            </w:r>
          </w:p>
        </w:tc>
      </w:tr>
      <w:tr w:rsidR="005D550B" w:rsidRPr="005D550B" w14:paraId="1A60E644" w14:textId="77777777" w:rsidTr="004E7B71">
        <w:trPr>
          <w:trHeight w:val="20"/>
        </w:trPr>
        <w:tc>
          <w:tcPr>
            <w:tcW w:w="1260" w:type="dxa"/>
            <w:vMerge/>
            <w:vAlign w:val="top"/>
          </w:tcPr>
          <w:p w14:paraId="52DC006C"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980" w:type="dxa"/>
            <w:vMerge/>
            <w:vAlign w:val="top"/>
          </w:tcPr>
          <w:p w14:paraId="5D091A28"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260" w:type="dxa"/>
            <w:vMerge/>
            <w:vAlign w:val="top"/>
          </w:tcPr>
          <w:p w14:paraId="413D5217"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350" w:type="dxa"/>
            <w:vMerge/>
            <w:vAlign w:val="top"/>
          </w:tcPr>
          <w:p w14:paraId="688302DC"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350" w:type="dxa"/>
            <w:vAlign w:val="top"/>
          </w:tcPr>
          <w:p w14:paraId="0511AF35" w14:textId="40438526" w:rsidR="005D550B" w:rsidRPr="00B50008" w:rsidRDefault="005D550B" w:rsidP="004E7B71">
            <w:pPr>
              <w:pBdr>
                <w:top w:val="nil"/>
                <w:left w:val="nil"/>
                <w:bottom w:val="nil"/>
                <w:right w:val="nil"/>
                <w:between w:val="nil"/>
              </w:pBdr>
              <w:ind w:left="-112"/>
              <w:jc w:val="left"/>
              <w:rPr>
                <w:rFonts w:ascii="Cambria" w:eastAsia="Cambria" w:hAnsi="Cambria" w:cs="Cambria"/>
                <w:i/>
                <w:iCs/>
              </w:rPr>
            </w:pPr>
            <w:r w:rsidRPr="00B50008">
              <w:rPr>
                <w:rFonts w:ascii="Cambria" w:eastAsia="Cambria" w:hAnsi="Cambria" w:cs="Cambria"/>
                <w:i/>
                <w:iCs/>
              </w:rPr>
              <w:t>Meseh</w:t>
            </w:r>
          </w:p>
        </w:tc>
        <w:tc>
          <w:tcPr>
            <w:tcW w:w="1350" w:type="dxa"/>
            <w:vAlign w:val="top"/>
          </w:tcPr>
          <w:p w14:paraId="127B2C58" w14:textId="41B38080" w:rsidR="005D550B" w:rsidRPr="005D550B" w:rsidRDefault="005D550B" w:rsidP="005D550B">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w:t>
            </w:r>
          </w:p>
        </w:tc>
      </w:tr>
      <w:tr w:rsidR="005D550B" w:rsidRPr="005D550B" w14:paraId="2757BCA4" w14:textId="77777777" w:rsidTr="004E7B71">
        <w:trPr>
          <w:trHeight w:val="20"/>
        </w:trPr>
        <w:tc>
          <w:tcPr>
            <w:tcW w:w="1260" w:type="dxa"/>
            <w:vMerge/>
            <w:tcBorders>
              <w:bottom w:val="nil"/>
            </w:tcBorders>
            <w:vAlign w:val="top"/>
          </w:tcPr>
          <w:p w14:paraId="3828D22C"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980" w:type="dxa"/>
            <w:vMerge/>
            <w:tcBorders>
              <w:bottom w:val="nil"/>
            </w:tcBorders>
            <w:vAlign w:val="top"/>
          </w:tcPr>
          <w:p w14:paraId="1113C066"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260" w:type="dxa"/>
            <w:vMerge/>
            <w:tcBorders>
              <w:bottom w:val="nil"/>
            </w:tcBorders>
            <w:vAlign w:val="top"/>
          </w:tcPr>
          <w:p w14:paraId="3DC8B770"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350" w:type="dxa"/>
            <w:vMerge/>
            <w:tcBorders>
              <w:bottom w:val="nil"/>
            </w:tcBorders>
            <w:vAlign w:val="top"/>
          </w:tcPr>
          <w:p w14:paraId="583207DF"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tc>
        <w:tc>
          <w:tcPr>
            <w:tcW w:w="1350" w:type="dxa"/>
            <w:tcBorders>
              <w:bottom w:val="nil"/>
            </w:tcBorders>
            <w:vAlign w:val="top"/>
          </w:tcPr>
          <w:p w14:paraId="1264DB18" w14:textId="31F8537F" w:rsidR="005D550B" w:rsidRPr="00B50008" w:rsidRDefault="005D550B" w:rsidP="004E7B71">
            <w:pPr>
              <w:pBdr>
                <w:top w:val="nil"/>
                <w:left w:val="nil"/>
                <w:bottom w:val="nil"/>
                <w:right w:val="nil"/>
                <w:between w:val="nil"/>
              </w:pBdr>
              <w:ind w:left="-112"/>
              <w:jc w:val="left"/>
              <w:rPr>
                <w:rFonts w:ascii="Cambria" w:eastAsia="Cambria" w:hAnsi="Cambria" w:cs="Cambria"/>
                <w:i/>
                <w:iCs/>
              </w:rPr>
            </w:pPr>
            <w:r w:rsidRPr="00B50008">
              <w:rPr>
                <w:rFonts w:ascii="Cambria" w:eastAsia="Cambria" w:hAnsi="Cambria" w:cs="Cambria"/>
                <w:i/>
                <w:iCs/>
              </w:rPr>
              <w:t>Musu</w:t>
            </w:r>
          </w:p>
        </w:tc>
        <w:tc>
          <w:tcPr>
            <w:tcW w:w="1350" w:type="dxa"/>
            <w:tcBorders>
              <w:bottom w:val="nil"/>
            </w:tcBorders>
            <w:vAlign w:val="top"/>
          </w:tcPr>
          <w:p w14:paraId="4235DC78" w14:textId="1E5590CF" w:rsidR="005D550B" w:rsidRPr="005D550B" w:rsidRDefault="005D550B" w:rsidP="005D550B">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w:t>
            </w:r>
          </w:p>
        </w:tc>
      </w:tr>
      <w:tr w:rsidR="005D550B" w:rsidRPr="005D550B" w14:paraId="23220ABA" w14:textId="77777777" w:rsidTr="004E7B71">
        <w:trPr>
          <w:trHeight w:val="20"/>
        </w:trPr>
        <w:tc>
          <w:tcPr>
            <w:tcW w:w="1260" w:type="dxa"/>
            <w:vMerge w:val="restart"/>
            <w:tcBorders>
              <w:top w:val="nil"/>
              <w:bottom w:val="nil"/>
            </w:tcBorders>
            <w:vAlign w:val="top"/>
          </w:tcPr>
          <w:p w14:paraId="6EC0E705" w14:textId="6D1E5406" w:rsidR="005D550B" w:rsidRPr="005D550B" w:rsidRDefault="005D550B" w:rsidP="004E7B71">
            <w:pPr>
              <w:pBdr>
                <w:top w:val="nil"/>
                <w:left w:val="nil"/>
                <w:bottom w:val="nil"/>
                <w:right w:val="nil"/>
                <w:between w:val="nil"/>
              </w:pBdr>
              <w:ind w:left="-112"/>
              <w:jc w:val="left"/>
              <w:rPr>
                <w:rFonts w:ascii="Cambria" w:eastAsia="Cambria" w:hAnsi="Cambria" w:cs="Cambria"/>
              </w:rPr>
            </w:pPr>
            <w:proofErr w:type="spellStart"/>
            <w:r w:rsidRPr="005D550B">
              <w:rPr>
                <w:rFonts w:ascii="Cambria" w:eastAsia="Cambria" w:hAnsi="Cambria" w:cs="Cambria"/>
              </w:rPr>
              <w:t>Sokoria</w:t>
            </w:r>
            <w:proofErr w:type="spellEnd"/>
          </w:p>
        </w:tc>
        <w:tc>
          <w:tcPr>
            <w:tcW w:w="1980" w:type="dxa"/>
            <w:vMerge w:val="restart"/>
            <w:tcBorders>
              <w:top w:val="nil"/>
              <w:bottom w:val="nil"/>
            </w:tcBorders>
            <w:vAlign w:val="top"/>
          </w:tcPr>
          <w:p w14:paraId="252F1D81" w14:textId="77777777" w:rsidR="005D550B" w:rsidRPr="005D550B" w:rsidRDefault="005D550B" w:rsidP="004E7B71">
            <w:pPr>
              <w:pBdr>
                <w:top w:val="nil"/>
                <w:left w:val="nil"/>
                <w:bottom w:val="nil"/>
                <w:right w:val="nil"/>
                <w:between w:val="nil"/>
              </w:pBdr>
              <w:ind w:left="-112"/>
              <w:jc w:val="left"/>
              <w:rPr>
                <w:rFonts w:ascii="Cambria" w:eastAsia="Cambria" w:hAnsi="Cambria" w:cs="Cambria"/>
              </w:rPr>
            </w:pPr>
          </w:p>
          <w:p w14:paraId="33AF4F26" w14:textId="29E12598" w:rsidR="005D550B" w:rsidRPr="005D550B" w:rsidRDefault="002765E7" w:rsidP="004E7B71">
            <w:pPr>
              <w:pBdr>
                <w:top w:val="nil"/>
                <w:left w:val="nil"/>
                <w:bottom w:val="nil"/>
                <w:right w:val="nil"/>
                <w:between w:val="nil"/>
              </w:pBdr>
              <w:ind w:left="-112"/>
              <w:jc w:val="left"/>
              <w:rPr>
                <w:rFonts w:ascii="Cambria" w:eastAsia="Cambria" w:hAnsi="Cambria" w:cs="Cambria"/>
              </w:rPr>
            </w:pPr>
            <w:r w:rsidRPr="002765E7">
              <w:rPr>
                <w:rFonts w:ascii="Cambria" w:eastAsia="Cambria" w:hAnsi="Cambria" w:cs="Cambria"/>
              </w:rPr>
              <w:t>Decision of the Minister of Energy and Mineral Number</w:t>
            </w:r>
            <w:r>
              <w:rPr>
                <w:rFonts w:ascii="Cambria" w:eastAsia="Cambria" w:hAnsi="Cambria" w:cs="Cambria"/>
              </w:rPr>
              <w:t xml:space="preserve"> </w:t>
            </w:r>
            <w:r w:rsidR="005D550B" w:rsidRPr="005D550B">
              <w:rPr>
                <w:rFonts w:ascii="Cambria" w:eastAsia="Cambria" w:hAnsi="Cambria" w:cs="Cambria"/>
              </w:rPr>
              <w:t>1534 K/30/MEM/</w:t>
            </w:r>
          </w:p>
          <w:p w14:paraId="796BADDD" w14:textId="677C423D"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2008</w:t>
            </w:r>
          </w:p>
        </w:tc>
        <w:tc>
          <w:tcPr>
            <w:tcW w:w="1260" w:type="dxa"/>
            <w:vMerge w:val="restart"/>
            <w:tcBorders>
              <w:top w:val="nil"/>
              <w:bottom w:val="nil"/>
            </w:tcBorders>
            <w:vAlign w:val="top"/>
          </w:tcPr>
          <w:p w14:paraId="32F9EBA6" w14:textId="6F551F92"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Ende</w:t>
            </w:r>
            <w:r w:rsidR="002765E7">
              <w:rPr>
                <w:rFonts w:ascii="Cambria" w:eastAsia="Cambria" w:hAnsi="Cambria" w:cs="Cambria"/>
              </w:rPr>
              <w:t xml:space="preserve"> </w:t>
            </w:r>
            <w:r w:rsidR="002765E7" w:rsidRPr="002765E7">
              <w:rPr>
                <w:rFonts w:ascii="Cambria" w:eastAsia="Cambria" w:hAnsi="Cambria" w:cs="Cambria"/>
              </w:rPr>
              <w:t>Regency</w:t>
            </w:r>
          </w:p>
        </w:tc>
        <w:tc>
          <w:tcPr>
            <w:tcW w:w="1350" w:type="dxa"/>
            <w:vMerge w:val="restart"/>
            <w:tcBorders>
              <w:top w:val="nil"/>
              <w:bottom w:val="nil"/>
            </w:tcBorders>
            <w:vAlign w:val="top"/>
          </w:tcPr>
          <w:p w14:paraId="38D21C97" w14:textId="415175DA" w:rsidR="005D550B" w:rsidRPr="005D550B" w:rsidRDefault="005D550B" w:rsidP="004E7B71">
            <w:pPr>
              <w:pBdr>
                <w:top w:val="nil"/>
                <w:left w:val="nil"/>
                <w:bottom w:val="nil"/>
                <w:right w:val="nil"/>
                <w:between w:val="nil"/>
              </w:pBdr>
              <w:ind w:left="-112"/>
              <w:jc w:val="left"/>
              <w:rPr>
                <w:rFonts w:ascii="Cambria" w:eastAsia="Cambria" w:hAnsi="Cambria" w:cs="Cambria"/>
              </w:rPr>
            </w:pPr>
            <w:r w:rsidRPr="005D550B">
              <w:rPr>
                <w:rFonts w:ascii="Cambria" w:eastAsia="Cambria" w:hAnsi="Cambria" w:cs="Cambria"/>
              </w:rPr>
              <w:t>43</w:t>
            </w:r>
            <w:r w:rsidR="00BC3DDB">
              <w:rPr>
                <w:rFonts w:ascii="Cambria" w:eastAsia="Cambria" w:hAnsi="Cambria" w:cs="Cambria"/>
              </w:rPr>
              <w:t>,</w:t>
            </w:r>
            <w:r w:rsidRPr="005D550B">
              <w:rPr>
                <w:rFonts w:ascii="Cambria" w:eastAsia="Cambria" w:hAnsi="Cambria" w:cs="Cambria"/>
              </w:rPr>
              <w:t>730</w:t>
            </w:r>
            <w:r w:rsidR="00BC3DDB">
              <w:rPr>
                <w:rFonts w:ascii="Cambria" w:eastAsia="Cambria" w:hAnsi="Cambria" w:cs="Cambria"/>
              </w:rPr>
              <w:t>.</w:t>
            </w:r>
            <w:r w:rsidRPr="005D550B">
              <w:rPr>
                <w:rFonts w:ascii="Cambria" w:eastAsia="Cambria" w:hAnsi="Cambria" w:cs="Cambria"/>
              </w:rPr>
              <w:t>74</w:t>
            </w:r>
          </w:p>
        </w:tc>
        <w:tc>
          <w:tcPr>
            <w:tcW w:w="1350" w:type="dxa"/>
            <w:tcBorders>
              <w:top w:val="nil"/>
              <w:bottom w:val="nil"/>
            </w:tcBorders>
            <w:vAlign w:val="top"/>
          </w:tcPr>
          <w:p w14:paraId="6F9FAC29" w14:textId="58CE216E" w:rsidR="005D550B" w:rsidRPr="00B50008" w:rsidRDefault="005D550B" w:rsidP="004E7B71">
            <w:pPr>
              <w:pBdr>
                <w:top w:val="nil"/>
                <w:left w:val="nil"/>
                <w:bottom w:val="nil"/>
                <w:right w:val="nil"/>
                <w:between w:val="nil"/>
              </w:pBdr>
              <w:ind w:left="-112"/>
              <w:jc w:val="left"/>
              <w:rPr>
                <w:rFonts w:ascii="Cambria" w:eastAsia="Cambria" w:hAnsi="Cambria" w:cs="Cambria"/>
                <w:i/>
                <w:iCs/>
              </w:rPr>
            </w:pPr>
            <w:r w:rsidRPr="00B50008">
              <w:rPr>
                <w:rFonts w:ascii="Cambria" w:eastAsia="Cambria" w:hAnsi="Cambria" w:cs="Cambria"/>
                <w:i/>
                <w:iCs/>
              </w:rPr>
              <w:t>Ai Bai</w:t>
            </w:r>
          </w:p>
        </w:tc>
        <w:tc>
          <w:tcPr>
            <w:tcW w:w="1350" w:type="dxa"/>
            <w:vMerge w:val="restart"/>
            <w:tcBorders>
              <w:top w:val="nil"/>
              <w:bottom w:val="nil"/>
            </w:tcBorders>
            <w:vAlign w:val="top"/>
          </w:tcPr>
          <w:p w14:paraId="5B9CA2E5" w14:textId="3B5631AE" w:rsidR="005D550B" w:rsidRPr="005D550B" w:rsidRDefault="005D550B" w:rsidP="005D550B">
            <w:pPr>
              <w:pBdr>
                <w:top w:val="nil"/>
                <w:left w:val="nil"/>
                <w:bottom w:val="nil"/>
                <w:right w:val="nil"/>
                <w:between w:val="nil"/>
              </w:pBdr>
              <w:ind w:left="-112"/>
              <w:jc w:val="left"/>
              <w:rPr>
                <w:rFonts w:ascii="Cambria" w:eastAsia="Cambria" w:hAnsi="Cambria" w:cs="Cambria"/>
              </w:rPr>
            </w:pPr>
            <w:proofErr w:type="spellStart"/>
            <w:r w:rsidRPr="005D550B">
              <w:rPr>
                <w:rFonts w:ascii="Cambria" w:eastAsia="Cambria" w:hAnsi="Cambria" w:cs="Cambria"/>
              </w:rPr>
              <w:t>Nua</w:t>
            </w:r>
            <w:proofErr w:type="spellEnd"/>
            <w:r w:rsidRPr="005D550B">
              <w:rPr>
                <w:rFonts w:ascii="Cambria" w:eastAsia="Cambria" w:hAnsi="Cambria" w:cs="Cambria"/>
              </w:rPr>
              <w:t xml:space="preserve"> Saga</w:t>
            </w:r>
          </w:p>
        </w:tc>
      </w:tr>
      <w:tr w:rsidR="005D550B" w:rsidRPr="005D550B" w14:paraId="189C9A5E" w14:textId="77777777" w:rsidTr="004E7B71">
        <w:trPr>
          <w:trHeight w:val="20"/>
        </w:trPr>
        <w:tc>
          <w:tcPr>
            <w:tcW w:w="1260" w:type="dxa"/>
            <w:vMerge/>
            <w:tcBorders>
              <w:top w:val="nil"/>
            </w:tcBorders>
            <w:vAlign w:val="top"/>
          </w:tcPr>
          <w:p w14:paraId="2B46D4D0"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980" w:type="dxa"/>
            <w:vMerge/>
            <w:tcBorders>
              <w:top w:val="nil"/>
            </w:tcBorders>
            <w:vAlign w:val="top"/>
          </w:tcPr>
          <w:p w14:paraId="575EFE29"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260" w:type="dxa"/>
            <w:vMerge/>
            <w:tcBorders>
              <w:top w:val="nil"/>
            </w:tcBorders>
            <w:vAlign w:val="top"/>
          </w:tcPr>
          <w:p w14:paraId="7249597C"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350" w:type="dxa"/>
            <w:vMerge/>
            <w:tcBorders>
              <w:top w:val="nil"/>
            </w:tcBorders>
            <w:vAlign w:val="top"/>
          </w:tcPr>
          <w:p w14:paraId="02FAEE26"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350" w:type="dxa"/>
            <w:tcBorders>
              <w:top w:val="nil"/>
            </w:tcBorders>
            <w:vAlign w:val="top"/>
          </w:tcPr>
          <w:p w14:paraId="6F8EE445" w14:textId="66C8FBF3" w:rsidR="005D550B" w:rsidRPr="00B50008" w:rsidRDefault="005D550B" w:rsidP="004E7B71">
            <w:pPr>
              <w:pBdr>
                <w:top w:val="nil"/>
                <w:left w:val="nil"/>
                <w:bottom w:val="nil"/>
                <w:right w:val="nil"/>
                <w:between w:val="nil"/>
              </w:pBdr>
              <w:ind w:left="-113"/>
              <w:jc w:val="left"/>
              <w:rPr>
                <w:rFonts w:ascii="Cambria" w:eastAsia="Cambria" w:hAnsi="Cambria" w:cs="Cambria"/>
                <w:i/>
                <w:iCs/>
              </w:rPr>
            </w:pPr>
            <w:r w:rsidRPr="00B50008">
              <w:rPr>
                <w:rFonts w:ascii="Cambria" w:eastAsia="Cambria" w:hAnsi="Cambria" w:cs="Cambria"/>
                <w:i/>
                <w:iCs/>
              </w:rPr>
              <w:t>Nanga Panda</w:t>
            </w:r>
          </w:p>
        </w:tc>
        <w:tc>
          <w:tcPr>
            <w:tcW w:w="1350" w:type="dxa"/>
            <w:vMerge/>
            <w:tcBorders>
              <w:top w:val="nil"/>
            </w:tcBorders>
            <w:vAlign w:val="top"/>
          </w:tcPr>
          <w:p w14:paraId="57D81B4F" w14:textId="77777777" w:rsidR="005D550B" w:rsidRPr="005D550B" w:rsidRDefault="005D550B" w:rsidP="005D550B">
            <w:pPr>
              <w:pBdr>
                <w:top w:val="nil"/>
                <w:left w:val="nil"/>
                <w:bottom w:val="nil"/>
                <w:right w:val="nil"/>
                <w:between w:val="nil"/>
              </w:pBdr>
              <w:jc w:val="left"/>
              <w:rPr>
                <w:rFonts w:ascii="Cambria" w:eastAsia="Cambria" w:hAnsi="Cambria" w:cs="Cambria"/>
              </w:rPr>
            </w:pPr>
          </w:p>
        </w:tc>
      </w:tr>
      <w:tr w:rsidR="005D550B" w:rsidRPr="005D550B" w14:paraId="639F4CBB" w14:textId="77777777" w:rsidTr="004E7B71">
        <w:trPr>
          <w:trHeight w:val="20"/>
        </w:trPr>
        <w:tc>
          <w:tcPr>
            <w:tcW w:w="1260" w:type="dxa"/>
            <w:vMerge/>
            <w:vAlign w:val="top"/>
          </w:tcPr>
          <w:p w14:paraId="6E64FDDD"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980" w:type="dxa"/>
            <w:vMerge/>
            <w:vAlign w:val="top"/>
          </w:tcPr>
          <w:p w14:paraId="336C0C95"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260" w:type="dxa"/>
            <w:vMerge/>
            <w:vAlign w:val="top"/>
          </w:tcPr>
          <w:p w14:paraId="532B8F5D"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350" w:type="dxa"/>
            <w:vMerge/>
            <w:vAlign w:val="top"/>
          </w:tcPr>
          <w:p w14:paraId="4927B774"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350" w:type="dxa"/>
            <w:tcBorders>
              <w:bottom w:val="nil"/>
            </w:tcBorders>
            <w:vAlign w:val="top"/>
          </w:tcPr>
          <w:p w14:paraId="34A65D78" w14:textId="77777777" w:rsidR="005D550B" w:rsidRPr="00B50008" w:rsidRDefault="005D550B" w:rsidP="004E7B71">
            <w:pPr>
              <w:pBdr>
                <w:top w:val="nil"/>
                <w:left w:val="nil"/>
                <w:bottom w:val="nil"/>
                <w:right w:val="nil"/>
                <w:between w:val="nil"/>
              </w:pBdr>
              <w:ind w:left="-113"/>
              <w:jc w:val="left"/>
              <w:rPr>
                <w:rFonts w:ascii="Cambria" w:eastAsia="Cambria" w:hAnsi="Cambria" w:cs="Cambria"/>
                <w:i/>
                <w:iCs/>
              </w:rPr>
            </w:pPr>
            <w:r w:rsidRPr="00B50008">
              <w:rPr>
                <w:rFonts w:ascii="Cambria" w:eastAsia="Cambria" w:hAnsi="Cambria" w:cs="Cambria"/>
                <w:i/>
                <w:iCs/>
              </w:rPr>
              <w:t xml:space="preserve">Nanga </w:t>
            </w:r>
          </w:p>
          <w:p w14:paraId="10E14BEB" w14:textId="77777777" w:rsidR="005D550B" w:rsidRPr="00B50008" w:rsidRDefault="005D550B" w:rsidP="004E7B71">
            <w:pPr>
              <w:pBdr>
                <w:top w:val="nil"/>
                <w:left w:val="nil"/>
                <w:bottom w:val="nil"/>
                <w:right w:val="nil"/>
                <w:between w:val="nil"/>
              </w:pBdr>
              <w:ind w:left="-113"/>
              <w:jc w:val="left"/>
              <w:rPr>
                <w:rFonts w:ascii="Cambria" w:eastAsia="Cambria" w:hAnsi="Cambria" w:cs="Cambria"/>
                <w:i/>
                <w:iCs/>
              </w:rPr>
            </w:pPr>
          </w:p>
          <w:p w14:paraId="13B5C0B9" w14:textId="6D5C8182" w:rsidR="005D550B" w:rsidRPr="00B50008" w:rsidRDefault="005D550B" w:rsidP="004E7B71">
            <w:pPr>
              <w:pBdr>
                <w:top w:val="nil"/>
                <w:left w:val="nil"/>
                <w:bottom w:val="nil"/>
                <w:right w:val="nil"/>
                <w:between w:val="nil"/>
              </w:pBdr>
              <w:ind w:left="-113"/>
              <w:jc w:val="left"/>
              <w:rPr>
                <w:rFonts w:ascii="Cambria" w:eastAsia="Cambria" w:hAnsi="Cambria" w:cs="Cambria"/>
                <w:i/>
                <w:iCs/>
              </w:rPr>
            </w:pPr>
            <w:proofErr w:type="spellStart"/>
            <w:r w:rsidRPr="00B50008">
              <w:rPr>
                <w:rFonts w:ascii="Cambria" w:eastAsia="Cambria" w:hAnsi="Cambria" w:cs="Cambria"/>
                <w:i/>
                <w:iCs/>
              </w:rPr>
              <w:t>Mboa</w:t>
            </w:r>
            <w:proofErr w:type="spellEnd"/>
          </w:p>
        </w:tc>
        <w:tc>
          <w:tcPr>
            <w:tcW w:w="1350" w:type="dxa"/>
            <w:vMerge/>
            <w:vAlign w:val="top"/>
          </w:tcPr>
          <w:p w14:paraId="3EAF3C0B" w14:textId="77777777" w:rsidR="005D550B" w:rsidRPr="005D550B" w:rsidRDefault="005D550B" w:rsidP="005D550B">
            <w:pPr>
              <w:pBdr>
                <w:top w:val="nil"/>
                <w:left w:val="nil"/>
                <w:bottom w:val="nil"/>
                <w:right w:val="nil"/>
                <w:between w:val="nil"/>
              </w:pBdr>
              <w:jc w:val="left"/>
              <w:rPr>
                <w:rFonts w:ascii="Cambria" w:eastAsia="Cambria" w:hAnsi="Cambria" w:cs="Cambria"/>
              </w:rPr>
            </w:pPr>
          </w:p>
        </w:tc>
      </w:tr>
      <w:tr w:rsidR="005D550B" w:rsidRPr="005D550B" w14:paraId="007A9E9A" w14:textId="77777777" w:rsidTr="004E7B71">
        <w:trPr>
          <w:trHeight w:val="95"/>
        </w:trPr>
        <w:tc>
          <w:tcPr>
            <w:tcW w:w="1260" w:type="dxa"/>
            <w:vMerge/>
            <w:vAlign w:val="top"/>
          </w:tcPr>
          <w:p w14:paraId="600176B4"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980" w:type="dxa"/>
            <w:vMerge/>
            <w:vAlign w:val="top"/>
          </w:tcPr>
          <w:p w14:paraId="3333CBAE"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260" w:type="dxa"/>
            <w:vMerge/>
            <w:vAlign w:val="top"/>
          </w:tcPr>
          <w:p w14:paraId="6519A874"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350" w:type="dxa"/>
            <w:vMerge/>
            <w:vAlign w:val="top"/>
          </w:tcPr>
          <w:p w14:paraId="2460469B"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350" w:type="dxa"/>
            <w:tcBorders>
              <w:top w:val="nil"/>
              <w:bottom w:val="nil"/>
            </w:tcBorders>
            <w:vAlign w:val="top"/>
          </w:tcPr>
          <w:p w14:paraId="1C816155" w14:textId="5153C81D" w:rsidR="005D550B" w:rsidRPr="00B50008" w:rsidRDefault="005D550B" w:rsidP="004E7B71">
            <w:pPr>
              <w:pBdr>
                <w:top w:val="nil"/>
                <w:left w:val="nil"/>
                <w:bottom w:val="nil"/>
                <w:right w:val="nil"/>
                <w:between w:val="nil"/>
              </w:pBdr>
              <w:ind w:left="-113"/>
              <w:jc w:val="left"/>
              <w:rPr>
                <w:rFonts w:ascii="Cambria" w:eastAsia="Cambria" w:hAnsi="Cambria" w:cs="Cambria"/>
                <w:i/>
                <w:iCs/>
              </w:rPr>
            </w:pPr>
            <w:proofErr w:type="spellStart"/>
            <w:r w:rsidRPr="00B50008">
              <w:rPr>
                <w:rFonts w:ascii="Cambria" w:eastAsia="Cambria" w:hAnsi="Cambria" w:cs="Cambria"/>
                <w:i/>
                <w:iCs/>
              </w:rPr>
              <w:t>Lowo</w:t>
            </w:r>
            <w:proofErr w:type="spellEnd"/>
            <w:r w:rsidRPr="00B50008">
              <w:rPr>
                <w:rFonts w:ascii="Cambria" w:eastAsia="Cambria" w:hAnsi="Cambria" w:cs="Cambria"/>
                <w:i/>
                <w:iCs/>
              </w:rPr>
              <w:t xml:space="preserve"> Mbuli</w:t>
            </w:r>
          </w:p>
        </w:tc>
        <w:tc>
          <w:tcPr>
            <w:tcW w:w="1350" w:type="dxa"/>
            <w:vMerge/>
            <w:vAlign w:val="top"/>
          </w:tcPr>
          <w:p w14:paraId="2A7FB61F" w14:textId="77777777" w:rsidR="005D550B" w:rsidRPr="005D550B" w:rsidRDefault="005D550B" w:rsidP="005D550B">
            <w:pPr>
              <w:pBdr>
                <w:top w:val="nil"/>
                <w:left w:val="nil"/>
                <w:bottom w:val="nil"/>
                <w:right w:val="nil"/>
                <w:between w:val="nil"/>
              </w:pBdr>
              <w:jc w:val="left"/>
              <w:rPr>
                <w:rFonts w:ascii="Cambria" w:eastAsia="Cambria" w:hAnsi="Cambria" w:cs="Cambria"/>
              </w:rPr>
            </w:pPr>
          </w:p>
        </w:tc>
      </w:tr>
      <w:tr w:rsidR="005D550B" w:rsidRPr="005D550B" w14:paraId="0EB4F5A8" w14:textId="77777777" w:rsidTr="004E7B71">
        <w:trPr>
          <w:trHeight w:val="20"/>
        </w:trPr>
        <w:tc>
          <w:tcPr>
            <w:tcW w:w="1260" w:type="dxa"/>
            <w:vMerge/>
            <w:vAlign w:val="top"/>
          </w:tcPr>
          <w:p w14:paraId="52BAC9DE"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980" w:type="dxa"/>
            <w:vMerge/>
            <w:vAlign w:val="top"/>
          </w:tcPr>
          <w:p w14:paraId="62DF2AC1"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260" w:type="dxa"/>
            <w:vMerge/>
            <w:vAlign w:val="top"/>
          </w:tcPr>
          <w:p w14:paraId="2678178A"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350" w:type="dxa"/>
            <w:vMerge/>
            <w:vAlign w:val="top"/>
          </w:tcPr>
          <w:p w14:paraId="682BD269"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350" w:type="dxa"/>
            <w:tcBorders>
              <w:top w:val="nil"/>
            </w:tcBorders>
            <w:vAlign w:val="top"/>
          </w:tcPr>
          <w:p w14:paraId="7433F8B5" w14:textId="74ADDCCC" w:rsidR="005D550B" w:rsidRPr="00B50008" w:rsidRDefault="005D550B" w:rsidP="004E7B71">
            <w:pPr>
              <w:pBdr>
                <w:top w:val="nil"/>
                <w:left w:val="nil"/>
                <w:bottom w:val="nil"/>
                <w:right w:val="nil"/>
                <w:between w:val="nil"/>
              </w:pBdr>
              <w:ind w:left="-113"/>
              <w:jc w:val="left"/>
              <w:rPr>
                <w:rFonts w:ascii="Cambria" w:eastAsia="Cambria" w:hAnsi="Cambria" w:cs="Cambria"/>
                <w:i/>
                <w:iCs/>
              </w:rPr>
            </w:pPr>
            <w:proofErr w:type="spellStart"/>
            <w:r w:rsidRPr="00B50008">
              <w:rPr>
                <w:rFonts w:ascii="Cambria" w:eastAsia="Cambria" w:hAnsi="Cambria" w:cs="Cambria"/>
                <w:i/>
                <w:iCs/>
              </w:rPr>
              <w:t>Lowo</w:t>
            </w:r>
            <w:proofErr w:type="spellEnd"/>
            <w:r w:rsidRPr="00B50008">
              <w:rPr>
                <w:rFonts w:ascii="Cambria" w:eastAsia="Cambria" w:hAnsi="Cambria" w:cs="Cambria"/>
                <w:i/>
                <w:iCs/>
              </w:rPr>
              <w:t xml:space="preserve"> Rea</w:t>
            </w:r>
          </w:p>
        </w:tc>
        <w:tc>
          <w:tcPr>
            <w:tcW w:w="1350" w:type="dxa"/>
            <w:vMerge/>
            <w:vAlign w:val="top"/>
          </w:tcPr>
          <w:p w14:paraId="08D92D8B" w14:textId="77777777" w:rsidR="005D550B" w:rsidRPr="005D550B" w:rsidRDefault="005D550B" w:rsidP="005D550B">
            <w:pPr>
              <w:pBdr>
                <w:top w:val="nil"/>
                <w:left w:val="nil"/>
                <w:bottom w:val="nil"/>
                <w:right w:val="nil"/>
                <w:between w:val="nil"/>
              </w:pBdr>
              <w:jc w:val="left"/>
              <w:rPr>
                <w:rFonts w:ascii="Cambria" w:eastAsia="Cambria" w:hAnsi="Cambria" w:cs="Cambria"/>
              </w:rPr>
            </w:pPr>
          </w:p>
        </w:tc>
      </w:tr>
      <w:tr w:rsidR="005D550B" w:rsidRPr="005D550B" w14:paraId="0D007E6C" w14:textId="77777777" w:rsidTr="004E7B71">
        <w:trPr>
          <w:trHeight w:val="20"/>
        </w:trPr>
        <w:tc>
          <w:tcPr>
            <w:tcW w:w="1260" w:type="dxa"/>
            <w:vMerge/>
            <w:tcBorders>
              <w:bottom w:val="single" w:sz="4" w:space="0" w:color="auto"/>
            </w:tcBorders>
            <w:vAlign w:val="top"/>
          </w:tcPr>
          <w:p w14:paraId="28DF177F"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980" w:type="dxa"/>
            <w:vMerge/>
            <w:tcBorders>
              <w:bottom w:val="single" w:sz="4" w:space="0" w:color="auto"/>
            </w:tcBorders>
            <w:vAlign w:val="top"/>
          </w:tcPr>
          <w:p w14:paraId="1195242D"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260" w:type="dxa"/>
            <w:vMerge/>
            <w:tcBorders>
              <w:bottom w:val="single" w:sz="4" w:space="0" w:color="auto"/>
            </w:tcBorders>
            <w:vAlign w:val="top"/>
          </w:tcPr>
          <w:p w14:paraId="21999F4D"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350" w:type="dxa"/>
            <w:vMerge/>
            <w:tcBorders>
              <w:bottom w:val="single" w:sz="4" w:space="0" w:color="auto"/>
            </w:tcBorders>
            <w:vAlign w:val="top"/>
          </w:tcPr>
          <w:p w14:paraId="1D81155B" w14:textId="77777777" w:rsidR="005D550B" w:rsidRPr="005D550B" w:rsidRDefault="005D550B" w:rsidP="004E7B71">
            <w:pPr>
              <w:pBdr>
                <w:top w:val="nil"/>
                <w:left w:val="nil"/>
                <w:bottom w:val="nil"/>
                <w:right w:val="nil"/>
                <w:between w:val="nil"/>
              </w:pBdr>
              <w:jc w:val="left"/>
              <w:rPr>
                <w:rFonts w:ascii="Cambria" w:eastAsia="Cambria" w:hAnsi="Cambria" w:cs="Cambria"/>
              </w:rPr>
            </w:pPr>
          </w:p>
        </w:tc>
        <w:tc>
          <w:tcPr>
            <w:tcW w:w="1350" w:type="dxa"/>
            <w:tcBorders>
              <w:bottom w:val="single" w:sz="4" w:space="0" w:color="auto"/>
            </w:tcBorders>
            <w:vAlign w:val="top"/>
          </w:tcPr>
          <w:p w14:paraId="7C1D095D" w14:textId="5662965E" w:rsidR="005D550B" w:rsidRPr="00B50008" w:rsidRDefault="005D550B" w:rsidP="004E7B71">
            <w:pPr>
              <w:pBdr>
                <w:top w:val="nil"/>
                <w:left w:val="nil"/>
                <w:bottom w:val="nil"/>
                <w:right w:val="nil"/>
                <w:between w:val="nil"/>
              </w:pBdr>
              <w:ind w:left="-113"/>
              <w:jc w:val="left"/>
              <w:rPr>
                <w:rFonts w:ascii="Cambria" w:eastAsia="Cambria" w:hAnsi="Cambria" w:cs="Cambria"/>
                <w:i/>
                <w:iCs/>
              </w:rPr>
            </w:pPr>
            <w:proofErr w:type="spellStart"/>
            <w:r w:rsidRPr="00B50008">
              <w:rPr>
                <w:rFonts w:ascii="Cambria" w:eastAsia="Cambria" w:hAnsi="Cambria" w:cs="Cambria"/>
                <w:i/>
                <w:iCs/>
              </w:rPr>
              <w:t>Wolo</w:t>
            </w:r>
            <w:proofErr w:type="spellEnd"/>
            <w:r w:rsidRPr="00B50008">
              <w:rPr>
                <w:rFonts w:ascii="Cambria" w:eastAsia="Cambria" w:hAnsi="Cambria" w:cs="Cambria"/>
                <w:i/>
                <w:iCs/>
              </w:rPr>
              <w:t xml:space="preserve"> Wana</w:t>
            </w:r>
          </w:p>
        </w:tc>
        <w:tc>
          <w:tcPr>
            <w:tcW w:w="1350" w:type="dxa"/>
            <w:vMerge/>
            <w:tcBorders>
              <w:bottom w:val="single" w:sz="4" w:space="0" w:color="auto"/>
            </w:tcBorders>
            <w:vAlign w:val="top"/>
          </w:tcPr>
          <w:p w14:paraId="00FD35AA" w14:textId="77777777" w:rsidR="005D550B" w:rsidRPr="005D550B" w:rsidRDefault="005D550B" w:rsidP="005D550B">
            <w:pPr>
              <w:pBdr>
                <w:top w:val="nil"/>
                <w:left w:val="nil"/>
                <w:bottom w:val="nil"/>
                <w:right w:val="nil"/>
                <w:between w:val="nil"/>
              </w:pBdr>
              <w:jc w:val="left"/>
              <w:rPr>
                <w:rFonts w:ascii="Cambria" w:eastAsia="Cambria" w:hAnsi="Cambria" w:cs="Cambria"/>
              </w:rPr>
            </w:pPr>
          </w:p>
        </w:tc>
      </w:tr>
      <w:bookmarkEnd w:id="0"/>
    </w:tbl>
    <w:p w14:paraId="0F3ED322" w14:textId="77777777" w:rsidR="00E06797" w:rsidRPr="005D550B" w:rsidRDefault="00E06797">
      <w:pPr>
        <w:ind w:firstLine="426"/>
        <w:rPr>
          <w:rFonts w:ascii="Cambria" w:eastAsia="Cambria" w:hAnsi="Cambria" w:cs="Cambria"/>
          <w:color w:val="000000"/>
          <w:sz w:val="22"/>
          <w:szCs w:val="22"/>
        </w:rPr>
      </w:pPr>
    </w:p>
    <w:p w14:paraId="7836730D" w14:textId="3A7BCCCF" w:rsidR="00E06797" w:rsidRDefault="00B70E34">
      <w:pPr>
        <w:ind w:firstLine="426"/>
        <w:rPr>
          <w:rFonts w:ascii="Cambria" w:eastAsia="Cambria" w:hAnsi="Cambria" w:cs="Cambria"/>
          <w:sz w:val="22"/>
          <w:szCs w:val="22"/>
        </w:rPr>
      </w:pPr>
      <w:r w:rsidRPr="005D550B">
        <w:rPr>
          <w:rFonts w:ascii="Cambria" w:eastAsia="Cambria" w:hAnsi="Cambria" w:cs="Cambria"/>
          <w:color w:val="000000"/>
          <w:sz w:val="22"/>
          <w:szCs w:val="22"/>
        </w:rPr>
        <w:t xml:space="preserve">Spatial intersection results indicate a direct overlap between the WKP areas and critical ecological infrastructure, which is particularly concerning within the semi-arid context of Flores Island: watersheds. Five WKPs are identified to deeply overlap with various watersheds. These intersections include the </w:t>
      </w:r>
      <w:proofErr w:type="spellStart"/>
      <w:r w:rsidRPr="005D550B">
        <w:rPr>
          <w:rFonts w:ascii="Cambria" w:eastAsia="Cambria" w:hAnsi="Cambria" w:cs="Cambria"/>
          <w:color w:val="000000"/>
          <w:sz w:val="22"/>
          <w:szCs w:val="22"/>
        </w:rPr>
        <w:t>Aesesa</w:t>
      </w:r>
      <w:proofErr w:type="spellEnd"/>
      <w:r w:rsidRPr="005D550B">
        <w:rPr>
          <w:rFonts w:ascii="Cambria" w:eastAsia="Cambria" w:hAnsi="Cambria" w:cs="Cambria"/>
          <w:color w:val="000000"/>
          <w:sz w:val="22"/>
          <w:szCs w:val="22"/>
        </w:rPr>
        <w:t xml:space="preserve"> and Dolok watersheds (WKP </w:t>
      </w:r>
      <w:proofErr w:type="spellStart"/>
      <w:r w:rsidRPr="005D550B">
        <w:rPr>
          <w:rFonts w:ascii="Cambria" w:eastAsia="Cambria" w:hAnsi="Cambria" w:cs="Cambria"/>
          <w:color w:val="000000"/>
          <w:sz w:val="22"/>
          <w:szCs w:val="22"/>
        </w:rPr>
        <w:t>Nage</w:t>
      </w:r>
      <w:proofErr w:type="spellEnd"/>
      <w:r w:rsidRPr="005D550B">
        <w:rPr>
          <w:rFonts w:ascii="Cambria" w:eastAsia="Cambria" w:hAnsi="Cambria" w:cs="Cambria"/>
          <w:color w:val="000000"/>
          <w:sz w:val="22"/>
          <w:szCs w:val="22"/>
        </w:rPr>
        <w:t xml:space="preserve">); Jamal and </w:t>
      </w:r>
      <w:proofErr w:type="spellStart"/>
      <w:r w:rsidRPr="005D550B">
        <w:rPr>
          <w:rFonts w:ascii="Cambria" w:eastAsia="Cambria" w:hAnsi="Cambria" w:cs="Cambria"/>
          <w:color w:val="000000"/>
          <w:sz w:val="22"/>
          <w:szCs w:val="22"/>
        </w:rPr>
        <w:t>Bereh</w:t>
      </w:r>
      <w:proofErr w:type="spellEnd"/>
      <w:r w:rsidRPr="005D550B">
        <w:rPr>
          <w:rFonts w:ascii="Cambria" w:eastAsia="Cambria" w:hAnsi="Cambria" w:cs="Cambria"/>
          <w:color w:val="000000"/>
          <w:sz w:val="22"/>
          <w:szCs w:val="22"/>
        </w:rPr>
        <w:t xml:space="preserve"> watersheds (WKP </w:t>
      </w:r>
      <w:proofErr w:type="spellStart"/>
      <w:r w:rsidRPr="005D550B">
        <w:rPr>
          <w:rFonts w:ascii="Cambria" w:eastAsia="Cambria" w:hAnsi="Cambria" w:cs="Cambria"/>
          <w:color w:val="000000"/>
          <w:sz w:val="22"/>
          <w:szCs w:val="22"/>
        </w:rPr>
        <w:t>Wae</w:t>
      </w:r>
      <w:proofErr w:type="spellEnd"/>
      <w:r w:rsidRPr="005D550B">
        <w:rPr>
          <w:rFonts w:ascii="Cambria" w:eastAsia="Cambria" w:hAnsi="Cambria" w:cs="Cambria"/>
          <w:color w:val="000000"/>
          <w:sz w:val="22"/>
          <w:szCs w:val="22"/>
        </w:rPr>
        <w:t xml:space="preserve"> Sano); </w:t>
      </w:r>
      <w:proofErr w:type="spellStart"/>
      <w:r w:rsidRPr="005D550B">
        <w:rPr>
          <w:rFonts w:ascii="Cambria" w:eastAsia="Cambria" w:hAnsi="Cambria" w:cs="Cambria"/>
          <w:color w:val="000000"/>
          <w:sz w:val="22"/>
          <w:szCs w:val="22"/>
        </w:rPr>
        <w:t>Belang</w:t>
      </w:r>
      <w:proofErr w:type="spellEnd"/>
      <w:r w:rsidRPr="005D550B">
        <w:rPr>
          <w:rFonts w:ascii="Cambria" w:eastAsia="Cambria" w:hAnsi="Cambria" w:cs="Cambria"/>
          <w:color w:val="000000"/>
          <w:sz w:val="22"/>
          <w:szCs w:val="22"/>
        </w:rPr>
        <w:t xml:space="preserve">, Bama, and Lamika watersheds (WKP Oka Ile Ange); and Reo, Meseh, Musu, and </w:t>
      </w:r>
      <w:proofErr w:type="spellStart"/>
      <w:r w:rsidRPr="005D550B">
        <w:rPr>
          <w:rFonts w:ascii="Cambria" w:eastAsia="Cambria" w:hAnsi="Cambria" w:cs="Cambria"/>
          <w:color w:val="000000"/>
          <w:sz w:val="22"/>
          <w:szCs w:val="22"/>
        </w:rPr>
        <w:t>Wosang</w:t>
      </w:r>
      <w:proofErr w:type="spellEnd"/>
      <w:r w:rsidRPr="005D550B">
        <w:rPr>
          <w:rFonts w:ascii="Cambria" w:eastAsia="Cambria" w:hAnsi="Cambria" w:cs="Cambria"/>
          <w:color w:val="000000"/>
          <w:sz w:val="22"/>
          <w:szCs w:val="22"/>
        </w:rPr>
        <w:t xml:space="preserve"> watersheds (WKP </w:t>
      </w:r>
      <w:proofErr w:type="spellStart"/>
      <w:r w:rsidRPr="005D550B">
        <w:rPr>
          <w:rFonts w:ascii="Cambria" w:eastAsia="Cambria" w:hAnsi="Cambria" w:cs="Cambria"/>
          <w:color w:val="000000"/>
          <w:sz w:val="22"/>
          <w:szCs w:val="22"/>
        </w:rPr>
        <w:t>Ulumbu</w:t>
      </w:r>
      <w:proofErr w:type="spellEnd"/>
      <w:r w:rsidRPr="005D550B">
        <w:rPr>
          <w:rFonts w:ascii="Cambria" w:eastAsia="Cambria" w:hAnsi="Cambria" w:cs="Cambria"/>
          <w:color w:val="000000"/>
          <w:sz w:val="22"/>
          <w:szCs w:val="22"/>
        </w:rPr>
        <w:t xml:space="preserve">). WKP </w:t>
      </w:r>
      <w:proofErr w:type="spellStart"/>
      <w:r w:rsidRPr="005D550B">
        <w:rPr>
          <w:rFonts w:ascii="Cambria" w:eastAsia="Cambria" w:hAnsi="Cambria" w:cs="Cambria"/>
          <w:color w:val="000000"/>
          <w:sz w:val="22"/>
          <w:szCs w:val="22"/>
        </w:rPr>
        <w:t>Sokoria</w:t>
      </w:r>
      <w:proofErr w:type="spellEnd"/>
      <w:r w:rsidRPr="005D550B">
        <w:rPr>
          <w:rFonts w:ascii="Cambria" w:eastAsia="Cambria" w:hAnsi="Cambria" w:cs="Cambria"/>
          <w:color w:val="000000"/>
          <w:sz w:val="22"/>
          <w:szCs w:val="22"/>
        </w:rPr>
        <w:t xml:space="preserve"> intersects the most extensive hydrological territory, overlapping with six watersheds simultaneously (Ai Bai, Nanga Panda, Nanga </w:t>
      </w:r>
      <w:proofErr w:type="spellStart"/>
      <w:r w:rsidRPr="005D550B">
        <w:rPr>
          <w:rFonts w:ascii="Cambria" w:eastAsia="Cambria" w:hAnsi="Cambria" w:cs="Cambria"/>
          <w:color w:val="000000"/>
          <w:sz w:val="22"/>
          <w:szCs w:val="22"/>
        </w:rPr>
        <w:t>Mboa</w:t>
      </w:r>
      <w:proofErr w:type="spellEnd"/>
      <w:r w:rsidRPr="005D550B">
        <w:rPr>
          <w:rFonts w:ascii="Cambria" w:eastAsia="Cambria" w:hAnsi="Cambria" w:cs="Cambria"/>
          <w:color w:val="000000"/>
          <w:sz w:val="22"/>
          <w:szCs w:val="22"/>
        </w:rPr>
        <w:t xml:space="preserve">, </w:t>
      </w:r>
      <w:proofErr w:type="spellStart"/>
      <w:r w:rsidRPr="005D550B">
        <w:rPr>
          <w:rFonts w:ascii="Cambria" w:eastAsia="Cambria" w:hAnsi="Cambria" w:cs="Cambria"/>
          <w:color w:val="000000"/>
          <w:sz w:val="22"/>
          <w:szCs w:val="22"/>
        </w:rPr>
        <w:t>Lowo</w:t>
      </w:r>
      <w:proofErr w:type="spellEnd"/>
      <w:r w:rsidRPr="005D550B">
        <w:rPr>
          <w:rFonts w:ascii="Cambria" w:eastAsia="Cambria" w:hAnsi="Cambria" w:cs="Cambria"/>
          <w:color w:val="000000"/>
          <w:sz w:val="22"/>
          <w:szCs w:val="22"/>
        </w:rPr>
        <w:t xml:space="preserve"> Mbuli, </w:t>
      </w:r>
      <w:proofErr w:type="spellStart"/>
      <w:r w:rsidRPr="005D550B">
        <w:rPr>
          <w:rFonts w:ascii="Cambria" w:eastAsia="Cambria" w:hAnsi="Cambria" w:cs="Cambria"/>
          <w:color w:val="000000"/>
          <w:sz w:val="22"/>
          <w:szCs w:val="22"/>
        </w:rPr>
        <w:t>Lowo</w:t>
      </w:r>
      <w:proofErr w:type="spellEnd"/>
      <w:r w:rsidRPr="005D550B">
        <w:rPr>
          <w:rFonts w:ascii="Cambria" w:eastAsia="Cambria" w:hAnsi="Cambria" w:cs="Cambria"/>
          <w:color w:val="000000"/>
          <w:sz w:val="22"/>
          <w:szCs w:val="22"/>
        </w:rPr>
        <w:t xml:space="preserve"> Rea, and </w:t>
      </w:r>
      <w:proofErr w:type="spellStart"/>
      <w:r w:rsidRPr="005D550B">
        <w:rPr>
          <w:rFonts w:ascii="Cambria" w:eastAsia="Cambria" w:hAnsi="Cambria" w:cs="Cambria"/>
          <w:color w:val="000000"/>
          <w:sz w:val="22"/>
          <w:szCs w:val="22"/>
        </w:rPr>
        <w:t>Wolo</w:t>
      </w:r>
      <w:proofErr w:type="spellEnd"/>
      <w:r w:rsidRPr="005D550B">
        <w:rPr>
          <w:rFonts w:ascii="Cambria" w:eastAsia="Cambria" w:hAnsi="Cambria" w:cs="Cambria"/>
          <w:color w:val="000000"/>
          <w:sz w:val="22"/>
          <w:szCs w:val="22"/>
        </w:rPr>
        <w:t xml:space="preserve"> Wana).</w:t>
      </w:r>
      <w:r w:rsidR="007A0EBC" w:rsidRPr="007A0EBC">
        <w:rPr>
          <w:rFonts w:ascii="Cambria" w:eastAsia="Cambria" w:hAnsi="Cambria" w:cs="Cambria"/>
          <w:sz w:val="22"/>
          <w:szCs w:val="22"/>
        </w:rPr>
        <w:t xml:space="preserve"> </w:t>
      </w:r>
      <w:r w:rsidR="007A0EBC" w:rsidRPr="005D550B">
        <w:rPr>
          <w:rFonts w:ascii="Cambria" w:eastAsia="Cambria" w:hAnsi="Cambria" w:cs="Cambria"/>
          <w:sz w:val="22"/>
          <w:szCs w:val="22"/>
        </w:rPr>
        <w:t xml:space="preserve">Beyond the hydrological dimension, BRWA reveals overlapping concessions with indigenous landscapes. Two </w:t>
      </w:r>
      <w:r w:rsidR="007A0EBC" w:rsidRPr="00B50008">
        <w:rPr>
          <w:rFonts w:ascii="Cambria" w:eastAsia="Cambria" w:hAnsi="Cambria" w:cs="Cambria"/>
          <w:sz w:val="22"/>
          <w:szCs w:val="22"/>
        </w:rPr>
        <w:t>Geothermal Working Areas</w:t>
      </w:r>
      <w:r w:rsidR="007A0EBC">
        <w:rPr>
          <w:rFonts w:ascii="Cambria" w:eastAsia="Cambria" w:hAnsi="Cambria" w:cs="Cambria"/>
          <w:sz w:val="22"/>
          <w:szCs w:val="22"/>
        </w:rPr>
        <w:t xml:space="preserve"> </w:t>
      </w:r>
      <w:r w:rsidR="007A0EBC" w:rsidRPr="005D550B">
        <w:rPr>
          <w:rFonts w:ascii="Cambria" w:eastAsia="Cambria" w:hAnsi="Cambria" w:cs="Cambria"/>
          <w:sz w:val="22"/>
          <w:szCs w:val="22"/>
        </w:rPr>
        <w:t xml:space="preserve">intersect with "verified" indigenous territories. WKP </w:t>
      </w:r>
      <w:proofErr w:type="spellStart"/>
      <w:r w:rsidR="007A0EBC" w:rsidRPr="005D550B">
        <w:rPr>
          <w:rFonts w:ascii="Cambria" w:eastAsia="Cambria" w:hAnsi="Cambria" w:cs="Cambria"/>
          <w:sz w:val="22"/>
          <w:szCs w:val="22"/>
        </w:rPr>
        <w:t>Sokoria</w:t>
      </w:r>
      <w:proofErr w:type="spellEnd"/>
      <w:r w:rsidR="007A0EBC" w:rsidRPr="005D550B">
        <w:rPr>
          <w:rFonts w:ascii="Cambria" w:eastAsia="Cambria" w:hAnsi="Cambria" w:cs="Cambria"/>
          <w:sz w:val="22"/>
          <w:szCs w:val="22"/>
        </w:rPr>
        <w:t xml:space="preserve"> entirely engulfs the </w:t>
      </w:r>
      <w:proofErr w:type="spellStart"/>
      <w:r w:rsidR="007A0EBC" w:rsidRPr="005D550B">
        <w:rPr>
          <w:rFonts w:ascii="Cambria" w:eastAsia="Cambria" w:hAnsi="Cambria" w:cs="Cambria"/>
          <w:sz w:val="22"/>
          <w:szCs w:val="22"/>
        </w:rPr>
        <w:t>Nua</w:t>
      </w:r>
      <w:proofErr w:type="spellEnd"/>
      <w:r w:rsidR="007A0EBC" w:rsidRPr="005D550B">
        <w:rPr>
          <w:rFonts w:ascii="Cambria" w:eastAsia="Cambria" w:hAnsi="Cambria" w:cs="Cambria"/>
          <w:sz w:val="22"/>
          <w:szCs w:val="22"/>
        </w:rPr>
        <w:t xml:space="preserve"> Saga indigenous territory; the entire 583.56 hectares of </w:t>
      </w:r>
      <w:proofErr w:type="spellStart"/>
      <w:r w:rsidR="007A0EBC" w:rsidRPr="005D550B">
        <w:rPr>
          <w:rFonts w:ascii="Cambria" w:eastAsia="Cambria" w:hAnsi="Cambria" w:cs="Cambria"/>
          <w:sz w:val="22"/>
          <w:szCs w:val="22"/>
        </w:rPr>
        <w:t>Nua</w:t>
      </w:r>
      <w:proofErr w:type="spellEnd"/>
      <w:r w:rsidR="007A0EBC" w:rsidRPr="005D550B">
        <w:rPr>
          <w:rFonts w:ascii="Cambria" w:eastAsia="Cambria" w:hAnsi="Cambria" w:cs="Cambria"/>
          <w:sz w:val="22"/>
          <w:szCs w:val="22"/>
        </w:rPr>
        <w:t xml:space="preserve"> Saga land is situated completely within the concession polygon. Secondly, WKP Oka Ile Ange partially intersects with the </w:t>
      </w:r>
      <w:proofErr w:type="spellStart"/>
      <w:r w:rsidR="007A0EBC" w:rsidRPr="005D550B">
        <w:rPr>
          <w:rFonts w:ascii="Cambria" w:eastAsia="Cambria" w:hAnsi="Cambria" w:cs="Cambria"/>
          <w:sz w:val="22"/>
          <w:szCs w:val="22"/>
        </w:rPr>
        <w:t>Lewolema</w:t>
      </w:r>
      <w:proofErr w:type="spellEnd"/>
      <w:r w:rsidR="007A0EBC" w:rsidRPr="005D550B">
        <w:rPr>
          <w:rFonts w:ascii="Cambria" w:eastAsia="Cambria" w:hAnsi="Cambria" w:cs="Cambria"/>
          <w:sz w:val="22"/>
          <w:szCs w:val="22"/>
        </w:rPr>
        <w:t xml:space="preserve"> indigenous territory, where more than half (4,727.91 ha) of </w:t>
      </w:r>
      <w:proofErr w:type="spellStart"/>
      <w:r w:rsidR="007A0EBC" w:rsidRPr="005D550B">
        <w:rPr>
          <w:rFonts w:ascii="Cambria" w:eastAsia="Cambria" w:hAnsi="Cambria" w:cs="Cambria"/>
          <w:sz w:val="22"/>
          <w:szCs w:val="22"/>
        </w:rPr>
        <w:t>of</w:t>
      </w:r>
      <w:proofErr w:type="spellEnd"/>
      <w:r w:rsidR="007A0EBC" w:rsidRPr="005D550B">
        <w:rPr>
          <w:rFonts w:ascii="Cambria" w:eastAsia="Cambria" w:hAnsi="Cambria" w:cs="Cambria"/>
          <w:sz w:val="22"/>
          <w:szCs w:val="22"/>
        </w:rPr>
        <w:t xml:space="preserve"> its total 9,262.80 hectares is claimed within the concession boundaries. Complementing the mapping of physical and ecological </w:t>
      </w:r>
      <w:r w:rsidR="007A0EBC" w:rsidRPr="005D550B">
        <w:rPr>
          <w:rFonts w:ascii="Cambria" w:eastAsia="Cambria" w:hAnsi="Cambria" w:cs="Cambria"/>
          <w:sz w:val="22"/>
          <w:szCs w:val="22"/>
        </w:rPr>
        <w:lastRenderedPageBreak/>
        <w:t>boundaries, this study also incorporates qualitative-spatial data regarding the track record of agrarian conflicts within the concession areas</w:t>
      </w:r>
    </w:p>
    <w:p w14:paraId="06857946" w14:textId="77777777" w:rsidR="007A0EBC" w:rsidRPr="005D550B" w:rsidRDefault="007A0EBC">
      <w:pPr>
        <w:ind w:firstLine="426"/>
        <w:rPr>
          <w:rFonts w:ascii="Cambria" w:eastAsia="Cambria" w:hAnsi="Cambria" w:cs="Cambria"/>
          <w:color w:val="000000"/>
          <w:sz w:val="22"/>
          <w:szCs w:val="22"/>
        </w:rPr>
      </w:pPr>
    </w:p>
    <w:p w14:paraId="3D7899FD" w14:textId="77777777" w:rsidR="007A0EBC" w:rsidRDefault="001D1312" w:rsidP="007A0EBC">
      <w:pPr>
        <w:ind w:right="44"/>
        <w:jc w:val="center"/>
        <w:rPr>
          <w:rFonts w:ascii="Cambria" w:eastAsia="Cambria" w:hAnsi="Cambria" w:cs="Cambria"/>
          <w:sz w:val="22"/>
          <w:szCs w:val="22"/>
        </w:rPr>
      </w:pPr>
      <w:r w:rsidRPr="005D550B">
        <w:rPr>
          <w:noProof/>
        </w:rPr>
        <w:drawing>
          <wp:inline distT="0" distB="0" distL="0" distR="0" wp14:anchorId="242BB5F8" wp14:editId="30CB8BF9">
            <wp:extent cx="2540956" cy="1828800"/>
            <wp:effectExtent l="0" t="0" r="0" b="0"/>
            <wp:docPr id="1626304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04158"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40956" cy="1828800"/>
                    </a:xfrm>
                    <a:prstGeom prst="rect">
                      <a:avLst/>
                    </a:prstGeom>
                  </pic:spPr>
                </pic:pic>
              </a:graphicData>
            </a:graphic>
          </wp:inline>
        </w:drawing>
      </w:r>
      <w:r w:rsidR="007A0EBC" w:rsidRPr="005D550B">
        <w:rPr>
          <w:noProof/>
        </w:rPr>
        <w:drawing>
          <wp:inline distT="0" distB="0" distL="0" distR="0" wp14:anchorId="71CA4904" wp14:editId="7ABE3DF2">
            <wp:extent cx="2679933" cy="1828800"/>
            <wp:effectExtent l="0" t="0" r="6350" b="0"/>
            <wp:docPr id="1725237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3714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79933" cy="1828800"/>
                    </a:xfrm>
                    <a:prstGeom prst="rect">
                      <a:avLst/>
                    </a:prstGeom>
                  </pic:spPr>
                </pic:pic>
              </a:graphicData>
            </a:graphic>
          </wp:inline>
        </w:drawing>
      </w:r>
    </w:p>
    <w:p w14:paraId="5BE8A04C" w14:textId="3C9D5D50" w:rsidR="00E06797" w:rsidRPr="007A0EBC" w:rsidRDefault="007A0EBC" w:rsidP="007A0EBC">
      <w:pPr>
        <w:pStyle w:val="ListParagraph"/>
        <w:numPr>
          <w:ilvl w:val="0"/>
          <w:numId w:val="5"/>
        </w:numPr>
        <w:ind w:right="44"/>
        <w:rPr>
          <w:rFonts w:ascii="Cambria" w:eastAsia="Cambria" w:hAnsi="Cambria" w:cs="Cambria"/>
          <w:sz w:val="22"/>
          <w:szCs w:val="22"/>
        </w:rPr>
      </w:pPr>
      <w:r>
        <w:rPr>
          <w:rFonts w:ascii="Cambria" w:eastAsia="Cambria" w:hAnsi="Cambria" w:cs="Cambria"/>
          <w:sz w:val="22"/>
          <w:szCs w:val="22"/>
        </w:rPr>
        <w:t xml:space="preserve">                                                                           (b)</w:t>
      </w:r>
    </w:p>
    <w:p w14:paraId="226AD1F5" w14:textId="7C53C350" w:rsidR="00B50008" w:rsidRPr="00B50008" w:rsidRDefault="00B50008" w:rsidP="00B50008">
      <w:pPr>
        <w:ind w:right="440"/>
        <w:jc w:val="center"/>
        <w:rPr>
          <w:rFonts w:ascii="Cambria" w:eastAsia="Cambria" w:hAnsi="Cambria" w:cs="Cambria"/>
        </w:rPr>
      </w:pPr>
      <w:r w:rsidRPr="00B50008">
        <w:rPr>
          <w:rFonts w:ascii="Cambria" w:eastAsia="Cambria" w:hAnsi="Cambria" w:cs="Cambria"/>
        </w:rPr>
        <w:t xml:space="preserve">Fig. 1 Geothermal </w:t>
      </w:r>
      <w:r>
        <w:rPr>
          <w:rFonts w:ascii="Cambria" w:eastAsia="Cambria" w:hAnsi="Cambria" w:cs="Cambria"/>
        </w:rPr>
        <w:t>w</w:t>
      </w:r>
      <w:r w:rsidRPr="00B50008">
        <w:rPr>
          <w:rFonts w:ascii="Cambria" w:eastAsia="Cambria" w:hAnsi="Cambria" w:cs="Cambria"/>
        </w:rPr>
        <w:t xml:space="preserve">orking </w:t>
      </w:r>
      <w:r>
        <w:rPr>
          <w:rFonts w:ascii="Cambria" w:eastAsia="Cambria" w:hAnsi="Cambria" w:cs="Cambria"/>
        </w:rPr>
        <w:t>a</w:t>
      </w:r>
      <w:r w:rsidRPr="00B50008">
        <w:rPr>
          <w:rFonts w:ascii="Cambria" w:eastAsia="Cambria" w:hAnsi="Cambria" w:cs="Cambria"/>
        </w:rPr>
        <w:t>reas</w:t>
      </w:r>
      <w:r w:rsidR="007A0EBC">
        <w:rPr>
          <w:rFonts w:ascii="Cambria" w:eastAsia="Cambria" w:hAnsi="Cambria" w:cs="Cambria"/>
        </w:rPr>
        <w:t xml:space="preserve">: (a) </w:t>
      </w:r>
      <w:r w:rsidRPr="00B50008">
        <w:rPr>
          <w:rFonts w:ascii="Cambria" w:eastAsia="Cambria" w:hAnsi="Cambria" w:cs="Cambria"/>
        </w:rPr>
        <w:t>Oka Ile Ange (red) and</w:t>
      </w:r>
      <w:r w:rsidR="00AE2D5B">
        <w:rPr>
          <w:rFonts w:ascii="Cambria" w:eastAsia="Cambria" w:hAnsi="Cambria" w:cs="Cambria"/>
        </w:rPr>
        <w:t xml:space="preserve"> community land</w:t>
      </w:r>
      <w:r w:rsidRPr="00B50008">
        <w:rPr>
          <w:rFonts w:ascii="Cambria" w:eastAsia="Cambria" w:hAnsi="Cambria" w:cs="Cambria"/>
        </w:rPr>
        <w:t xml:space="preserve"> </w:t>
      </w:r>
      <w:proofErr w:type="spellStart"/>
      <w:r w:rsidRPr="00B50008">
        <w:rPr>
          <w:rFonts w:ascii="Cambria" w:eastAsia="Cambria" w:hAnsi="Cambria" w:cs="Cambria"/>
        </w:rPr>
        <w:t>Lewolema</w:t>
      </w:r>
      <w:proofErr w:type="spellEnd"/>
      <w:r w:rsidRPr="00B50008">
        <w:rPr>
          <w:rFonts w:ascii="Cambria" w:eastAsia="Cambria" w:hAnsi="Cambria" w:cs="Cambria"/>
        </w:rPr>
        <w:t xml:space="preserve"> (blue)</w:t>
      </w:r>
      <w:r w:rsidR="007A0EBC">
        <w:rPr>
          <w:rFonts w:ascii="Cambria" w:eastAsia="Cambria" w:hAnsi="Cambria" w:cs="Cambria"/>
        </w:rPr>
        <w:t xml:space="preserve">; (b) </w:t>
      </w:r>
      <w:proofErr w:type="spellStart"/>
      <w:r w:rsidR="007A0EBC" w:rsidRPr="00AE2D5B">
        <w:rPr>
          <w:rFonts w:ascii="Cambria" w:eastAsia="Cambria" w:hAnsi="Cambria" w:cs="Cambria"/>
        </w:rPr>
        <w:t>Sokoria</w:t>
      </w:r>
      <w:proofErr w:type="spellEnd"/>
      <w:r w:rsidR="007A0EBC" w:rsidRPr="00AE2D5B">
        <w:rPr>
          <w:rFonts w:ascii="Cambria" w:eastAsia="Cambria" w:hAnsi="Cambria" w:cs="Cambria"/>
        </w:rPr>
        <w:t xml:space="preserve"> (red) and Community land </w:t>
      </w:r>
      <w:proofErr w:type="spellStart"/>
      <w:r w:rsidR="007A0EBC" w:rsidRPr="00AE2D5B">
        <w:rPr>
          <w:rFonts w:ascii="Cambria" w:eastAsia="Cambria" w:hAnsi="Cambria" w:cs="Cambria"/>
        </w:rPr>
        <w:t>Nua</w:t>
      </w:r>
      <w:proofErr w:type="spellEnd"/>
      <w:r w:rsidR="007A0EBC" w:rsidRPr="00AE2D5B">
        <w:rPr>
          <w:rFonts w:ascii="Cambria" w:eastAsia="Cambria" w:hAnsi="Cambria" w:cs="Cambria"/>
        </w:rPr>
        <w:t xml:space="preserve"> Saga (white)</w:t>
      </w:r>
    </w:p>
    <w:p w14:paraId="053B40CF" w14:textId="77777777" w:rsidR="00B50008" w:rsidRDefault="00B50008" w:rsidP="00B50008">
      <w:pPr>
        <w:ind w:firstLine="450"/>
        <w:rPr>
          <w:rFonts w:ascii="Cambria" w:eastAsia="Cambria" w:hAnsi="Cambria" w:cs="Cambria"/>
          <w:sz w:val="22"/>
          <w:szCs w:val="22"/>
        </w:rPr>
      </w:pPr>
    </w:p>
    <w:p w14:paraId="6A90CF1C" w14:textId="77777777" w:rsidR="002D5726" w:rsidRDefault="005D550B" w:rsidP="007A0EBC">
      <w:pPr>
        <w:ind w:firstLine="450"/>
        <w:rPr>
          <w:rFonts w:ascii="Cambria" w:eastAsia="Cambria" w:hAnsi="Cambria" w:cs="Cambria"/>
          <w:sz w:val="22"/>
          <w:szCs w:val="22"/>
        </w:rPr>
      </w:pPr>
      <w:r w:rsidRPr="005D550B">
        <w:rPr>
          <w:rFonts w:ascii="Cambria" w:eastAsia="Cambria" w:hAnsi="Cambria" w:cs="Cambria"/>
          <w:sz w:val="22"/>
          <w:szCs w:val="22"/>
        </w:rPr>
        <w:t xml:space="preserve">Based on a database search on tanahkita.id, a participatory mapping and spatial advocacy portal managed by a coalition of civil society organizations (including JKPP, KPA, </w:t>
      </w:r>
      <w:proofErr w:type="spellStart"/>
      <w:r w:rsidRPr="005D550B">
        <w:rPr>
          <w:rFonts w:ascii="Cambria" w:eastAsia="Cambria" w:hAnsi="Cambria" w:cs="Cambria"/>
          <w:sz w:val="22"/>
          <w:szCs w:val="22"/>
        </w:rPr>
        <w:t>HuMA</w:t>
      </w:r>
      <w:proofErr w:type="spellEnd"/>
      <w:r w:rsidRPr="005D550B">
        <w:rPr>
          <w:rFonts w:ascii="Cambria" w:eastAsia="Cambria" w:hAnsi="Cambria" w:cs="Cambria"/>
          <w:sz w:val="22"/>
          <w:szCs w:val="22"/>
        </w:rPr>
        <w:t xml:space="preserve">, and JATAM); a specific conflict point was identified within the WKP </w:t>
      </w:r>
      <w:proofErr w:type="spellStart"/>
      <w:r w:rsidRPr="005D550B">
        <w:rPr>
          <w:rFonts w:ascii="Cambria" w:eastAsia="Cambria" w:hAnsi="Cambria" w:cs="Cambria"/>
          <w:sz w:val="22"/>
          <w:szCs w:val="22"/>
        </w:rPr>
        <w:t>Wae</w:t>
      </w:r>
      <w:proofErr w:type="spellEnd"/>
      <w:r w:rsidRPr="005D550B">
        <w:rPr>
          <w:rFonts w:ascii="Cambria" w:eastAsia="Cambria" w:hAnsi="Cambria" w:cs="Cambria"/>
          <w:sz w:val="22"/>
          <w:szCs w:val="22"/>
        </w:rPr>
        <w:t xml:space="preserve"> Sano area. The report documents an ongoing conflict between a State-Owned Enterprise (SOE), acting as the state's corporate extension, and the local non-indigenous community in </w:t>
      </w:r>
      <w:proofErr w:type="spellStart"/>
      <w:r w:rsidRPr="005D550B">
        <w:rPr>
          <w:rFonts w:ascii="Cambria" w:eastAsia="Cambria" w:hAnsi="Cambria" w:cs="Cambria"/>
          <w:sz w:val="22"/>
          <w:szCs w:val="22"/>
        </w:rPr>
        <w:t>Wae</w:t>
      </w:r>
      <w:proofErr w:type="spellEnd"/>
      <w:r w:rsidRPr="005D550B">
        <w:rPr>
          <w:rFonts w:ascii="Cambria" w:eastAsia="Cambria" w:hAnsi="Cambria" w:cs="Cambria"/>
          <w:sz w:val="22"/>
          <w:szCs w:val="22"/>
        </w:rPr>
        <w:t xml:space="preserve"> Sano.</w:t>
      </w:r>
      <w:r w:rsidR="007A0EBC">
        <w:rPr>
          <w:rFonts w:ascii="Cambria" w:eastAsia="Cambria" w:hAnsi="Cambria" w:cs="Cambria"/>
          <w:sz w:val="22"/>
          <w:szCs w:val="22"/>
        </w:rPr>
        <w:t xml:space="preserve"> </w:t>
      </w:r>
      <w:r w:rsidR="00753C71" w:rsidRPr="005D550B">
        <w:rPr>
          <w:rFonts w:ascii="Cambria" w:eastAsia="Cambria" w:hAnsi="Cambria" w:cs="Cambria"/>
          <w:sz w:val="22"/>
          <w:szCs w:val="22"/>
        </w:rPr>
        <w:t xml:space="preserve">Secondary data collection for the qualitative approach was conducted using specific search parameters. The raw data was constructed the keyword of </w:t>
      </w:r>
      <w:r w:rsidR="002D5726">
        <w:rPr>
          <w:rFonts w:ascii="Cambria" w:eastAsia="Cambria" w:hAnsi="Cambria" w:cs="Cambria"/>
          <w:sz w:val="22"/>
          <w:szCs w:val="22"/>
        </w:rPr>
        <w:t>“</w:t>
      </w:r>
      <w:r w:rsidR="00AE2D5B" w:rsidRPr="00AE2D5B">
        <w:rPr>
          <w:rFonts w:ascii="Cambria" w:eastAsia="Cambria" w:hAnsi="Cambria" w:cs="Cambria"/>
          <w:sz w:val="22"/>
          <w:szCs w:val="22"/>
        </w:rPr>
        <w:t>Geothermal Power Plant/</w:t>
      </w:r>
      <w:r w:rsidR="00AE2D5B" w:rsidRPr="00AE2D5B">
        <w:rPr>
          <w:rFonts w:ascii="Cambria" w:eastAsia="Cambria" w:hAnsi="Cambria" w:cs="Cambria"/>
          <w:i/>
          <w:iCs/>
          <w:sz w:val="22"/>
          <w:szCs w:val="22"/>
          <w:lang w:val="id-ID"/>
        </w:rPr>
        <w:t>Pembangkit Listrik Tenaga Panas Bumi</w:t>
      </w:r>
      <w:r w:rsidR="00AE2D5B" w:rsidRPr="00AE2D5B">
        <w:rPr>
          <w:rFonts w:ascii="Cambria" w:eastAsia="Cambria" w:hAnsi="Cambria" w:cs="Cambria"/>
          <w:sz w:val="22"/>
          <w:szCs w:val="22"/>
          <w:lang w:val="en-ID"/>
        </w:rPr>
        <w:t xml:space="preserve"> (</w:t>
      </w:r>
      <w:r w:rsidR="00AE2D5B" w:rsidRPr="00AE2D5B">
        <w:rPr>
          <w:rFonts w:ascii="Cambria" w:eastAsia="Cambria" w:hAnsi="Cambria" w:cs="Cambria"/>
          <w:sz w:val="22"/>
          <w:szCs w:val="22"/>
        </w:rPr>
        <w:t xml:space="preserve">PLTP) </w:t>
      </w:r>
      <w:r w:rsidR="00753C71" w:rsidRPr="005D550B">
        <w:rPr>
          <w:rFonts w:ascii="Cambria" w:eastAsia="Cambria" w:hAnsi="Cambria" w:cs="Cambria"/>
          <w:sz w:val="22"/>
          <w:szCs w:val="22"/>
        </w:rPr>
        <w:t xml:space="preserve">Flores after:2017-01-01" executed on the Google search engine. The temporal cutoff marks the issuance of ESDM Decree No. 2268 K/30/MEM/2017, designating Flores as </w:t>
      </w:r>
      <w:r w:rsidR="00753C71" w:rsidRPr="00CA410E">
        <w:rPr>
          <w:rFonts w:ascii="Cambria" w:eastAsia="Cambria" w:hAnsi="Cambria" w:cs="Cambria"/>
          <w:i/>
          <w:iCs/>
          <w:sz w:val="22"/>
          <w:szCs w:val="22"/>
        </w:rPr>
        <w:t>Pulau Panas Bumi</w:t>
      </w:r>
      <w:r w:rsidR="00753C71" w:rsidRPr="005D550B">
        <w:rPr>
          <w:rFonts w:ascii="Cambria" w:eastAsia="Cambria" w:hAnsi="Cambria" w:cs="Cambria"/>
          <w:sz w:val="22"/>
          <w:szCs w:val="22"/>
        </w:rPr>
        <w:t xml:space="preserve">. It makes the output data within the precise inception point of the policy regime under study. Rather than purposively selecting articles, the study attempted a complete enumeration of all returned results (an initial 75 articles), </w:t>
      </w:r>
      <w:proofErr w:type="spellStart"/>
      <w:r w:rsidR="00753C71" w:rsidRPr="005D550B">
        <w:rPr>
          <w:rFonts w:ascii="Cambria" w:eastAsia="Cambria" w:hAnsi="Cambria" w:cs="Cambria"/>
          <w:sz w:val="22"/>
          <w:szCs w:val="22"/>
        </w:rPr>
        <w:t>minimising</w:t>
      </w:r>
      <w:proofErr w:type="spellEnd"/>
      <w:r w:rsidR="00753C71" w:rsidRPr="005D550B">
        <w:rPr>
          <w:rFonts w:ascii="Cambria" w:eastAsia="Cambria" w:hAnsi="Cambria" w:cs="Cambria"/>
          <w:sz w:val="22"/>
          <w:szCs w:val="22"/>
        </w:rPr>
        <w:t xml:space="preserve"> selection bias at the retrieval stage. </w:t>
      </w:r>
    </w:p>
    <w:p w14:paraId="4B1676EB" w14:textId="4B71DF50" w:rsidR="00753C71" w:rsidRDefault="00753C71" w:rsidP="007A0EBC">
      <w:pPr>
        <w:ind w:firstLine="450"/>
        <w:rPr>
          <w:rFonts w:ascii="Cambria" w:eastAsia="Cambria" w:hAnsi="Cambria" w:cs="Cambria"/>
          <w:sz w:val="22"/>
          <w:szCs w:val="22"/>
        </w:rPr>
      </w:pPr>
      <w:r w:rsidRPr="005D550B">
        <w:rPr>
          <w:rFonts w:ascii="Cambria" w:eastAsia="Cambria" w:hAnsi="Cambria" w:cs="Cambria"/>
          <w:sz w:val="22"/>
          <w:szCs w:val="22"/>
        </w:rPr>
        <w:t>Exclusion was then applied deductively and transparently: items were removed only if they lacked Dewan Pers certification, were duplicates, fell outside the spatial locus (e.g., Lembata or non-Flores plants), or originated from unverifiable foreign media. It yields a final number of 40 articles from which 184 quotations were extracted. Coding was performed manually using a directed (deductive) approach. A codebook was fixed a priori from Robbins' three theses,</w:t>
      </w:r>
      <w:r w:rsidR="00DC5310" w:rsidRPr="005D550B">
        <w:rPr>
          <w:rFonts w:ascii="Cambria" w:eastAsia="Cambria" w:hAnsi="Cambria" w:cs="Cambria"/>
          <w:sz w:val="22"/>
          <w:szCs w:val="22"/>
        </w:rPr>
        <w:t xml:space="preserve"> </w:t>
      </w:r>
      <w:proofErr w:type="spellStart"/>
      <w:r w:rsidRPr="005D550B">
        <w:rPr>
          <w:rFonts w:ascii="Cambria" w:eastAsia="Cambria" w:hAnsi="Cambria" w:cs="Cambria"/>
          <w:sz w:val="22"/>
          <w:szCs w:val="22"/>
        </w:rPr>
        <w:t>operationalised</w:t>
      </w:r>
      <w:proofErr w:type="spellEnd"/>
      <w:r w:rsidRPr="005D550B">
        <w:rPr>
          <w:rFonts w:ascii="Cambria" w:eastAsia="Cambria" w:hAnsi="Cambria" w:cs="Cambria"/>
          <w:sz w:val="22"/>
          <w:szCs w:val="22"/>
        </w:rPr>
        <w:t xml:space="preserve"> into three parent themes (Legitimacy, Resistance, Conflict Dynamics) and their sub-themes. Each quotation was </w:t>
      </w:r>
      <w:proofErr w:type="spellStart"/>
      <w:r w:rsidRPr="005D550B">
        <w:rPr>
          <w:rFonts w:ascii="Cambria" w:eastAsia="Cambria" w:hAnsi="Cambria" w:cs="Cambria"/>
          <w:sz w:val="22"/>
          <w:szCs w:val="22"/>
        </w:rPr>
        <w:t>unitised</w:t>
      </w:r>
      <w:proofErr w:type="spellEnd"/>
      <w:r w:rsidRPr="005D550B">
        <w:rPr>
          <w:rFonts w:ascii="Cambria" w:eastAsia="Cambria" w:hAnsi="Cambria" w:cs="Cambria"/>
          <w:sz w:val="22"/>
          <w:szCs w:val="22"/>
        </w:rPr>
        <w:t xml:space="preserve"> as a single attributable statement and assigned to one sub-theme by reading it in the full context of its source article. Statements that did not fit the predetermined matrix were retained under "Uncategorized" (4 quotes; church advocacy, choose not to respond, ownership clarification, Commercial Operation Date) rather than forced into a category, preserving the integrity of the deductive frame.</w:t>
      </w:r>
    </w:p>
    <w:p w14:paraId="217E32A1" w14:textId="77777777" w:rsidR="002D5726" w:rsidRDefault="002D5726" w:rsidP="002D5726">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From the 40 remaining articles post-exclusion, 184 quotes from each news were extracted and classified into three main themes, </w:t>
      </w:r>
      <w:r>
        <w:rPr>
          <w:rFonts w:ascii="Cambria" w:eastAsia="Cambria" w:hAnsi="Cambria" w:cs="Cambria"/>
          <w:sz w:val="22"/>
          <w:szCs w:val="22"/>
        </w:rPr>
        <w:t>first, l</w:t>
      </w:r>
      <w:r w:rsidRPr="005D550B">
        <w:rPr>
          <w:rFonts w:ascii="Cambria" w:eastAsia="Cambria" w:hAnsi="Cambria" w:cs="Cambria"/>
          <w:sz w:val="22"/>
          <w:szCs w:val="22"/>
        </w:rPr>
        <w:t>egitimacy (thesis)</w:t>
      </w:r>
      <w:r>
        <w:rPr>
          <w:rFonts w:ascii="Cambria" w:eastAsia="Cambria" w:hAnsi="Cambria" w:cs="Cambria"/>
          <w:sz w:val="22"/>
          <w:szCs w:val="22"/>
        </w:rPr>
        <w:t>, i</w:t>
      </w:r>
      <w:r w:rsidRPr="005D550B">
        <w:rPr>
          <w:rFonts w:ascii="Cambria" w:eastAsia="Cambria" w:hAnsi="Cambria" w:cs="Cambria"/>
          <w:sz w:val="22"/>
          <w:szCs w:val="22"/>
        </w:rPr>
        <w:t xml:space="preserve">nstruments utilized by the government and/or corporations to justify field actions and frame WKP projects as legally and morally legitimate efforts, </w:t>
      </w:r>
      <w:r>
        <w:rPr>
          <w:rFonts w:ascii="Cambria" w:eastAsia="Cambria" w:hAnsi="Cambria" w:cs="Cambria"/>
          <w:sz w:val="22"/>
          <w:szCs w:val="22"/>
        </w:rPr>
        <w:t>second</w:t>
      </w:r>
      <w:r w:rsidRPr="005D550B">
        <w:rPr>
          <w:rFonts w:ascii="Cambria" w:eastAsia="Cambria" w:hAnsi="Cambria" w:cs="Cambria"/>
          <w:sz w:val="22"/>
          <w:szCs w:val="22"/>
        </w:rPr>
        <w:t xml:space="preserve"> </w:t>
      </w:r>
      <w:r>
        <w:rPr>
          <w:rFonts w:ascii="Cambria" w:eastAsia="Cambria" w:hAnsi="Cambria" w:cs="Cambria"/>
          <w:sz w:val="22"/>
          <w:szCs w:val="22"/>
        </w:rPr>
        <w:t>r</w:t>
      </w:r>
      <w:r w:rsidRPr="005D550B">
        <w:rPr>
          <w:rFonts w:ascii="Cambria" w:eastAsia="Cambria" w:hAnsi="Cambria" w:cs="Cambria"/>
          <w:sz w:val="22"/>
          <w:szCs w:val="22"/>
        </w:rPr>
        <w:t>esistance (antithesis)</w:t>
      </w:r>
      <w:r>
        <w:rPr>
          <w:rFonts w:ascii="Cambria" w:eastAsia="Cambria" w:hAnsi="Cambria" w:cs="Cambria"/>
          <w:sz w:val="22"/>
          <w:szCs w:val="22"/>
        </w:rPr>
        <w:t>, c</w:t>
      </w:r>
      <w:r w:rsidRPr="005D550B">
        <w:rPr>
          <w:rFonts w:ascii="Cambria" w:eastAsia="Cambria" w:hAnsi="Cambria" w:cs="Cambria"/>
          <w:sz w:val="22"/>
          <w:szCs w:val="22"/>
        </w:rPr>
        <w:t xml:space="preserve">ounter-narratives from local communities, independent indigenous figures (outside government structures), activists, and clergy who reject the projects due to various adverse impacts occurring at the grassroots and site level, </w:t>
      </w:r>
      <w:r>
        <w:rPr>
          <w:rFonts w:ascii="Cambria" w:eastAsia="Cambria" w:hAnsi="Cambria" w:cs="Cambria"/>
          <w:sz w:val="22"/>
          <w:szCs w:val="22"/>
        </w:rPr>
        <w:t>third, co</w:t>
      </w:r>
      <w:r w:rsidRPr="005D550B">
        <w:rPr>
          <w:rFonts w:ascii="Cambria" w:eastAsia="Cambria" w:hAnsi="Cambria" w:cs="Cambria"/>
          <w:sz w:val="22"/>
          <w:szCs w:val="22"/>
        </w:rPr>
        <w:t xml:space="preserve">nflict </w:t>
      </w:r>
      <w:r>
        <w:rPr>
          <w:rFonts w:ascii="Cambria" w:eastAsia="Cambria" w:hAnsi="Cambria" w:cs="Cambria"/>
          <w:sz w:val="22"/>
          <w:szCs w:val="22"/>
        </w:rPr>
        <w:t>d</w:t>
      </w:r>
      <w:r w:rsidRPr="005D550B">
        <w:rPr>
          <w:rFonts w:ascii="Cambria" w:eastAsia="Cambria" w:hAnsi="Cambria" w:cs="Cambria"/>
          <w:sz w:val="22"/>
          <w:szCs w:val="22"/>
        </w:rPr>
        <w:t>ynamics (synthesis)</w:t>
      </w:r>
      <w:r>
        <w:rPr>
          <w:rFonts w:ascii="Cambria" w:eastAsia="Cambria" w:hAnsi="Cambria" w:cs="Cambria"/>
          <w:sz w:val="22"/>
          <w:szCs w:val="22"/>
        </w:rPr>
        <w:t>, d</w:t>
      </w:r>
      <w:r w:rsidRPr="005D550B">
        <w:rPr>
          <w:rFonts w:ascii="Cambria" w:eastAsia="Cambria" w:hAnsi="Cambria" w:cs="Cambria"/>
          <w:sz w:val="22"/>
          <w:szCs w:val="22"/>
        </w:rPr>
        <w:t>iscrepancies between theories, regulation, and field realities, power imbalances, state coercion and the deployment of security apparatus, along with other phenomena arising when state legitimacy directly collides with citizen resistance.</w:t>
      </w:r>
    </w:p>
    <w:p w14:paraId="43E41ECB" w14:textId="77777777" w:rsidR="002D5726" w:rsidRDefault="002D5726" w:rsidP="002D5726">
      <w:pPr>
        <w:rPr>
          <w:rFonts w:ascii="Cambria" w:eastAsia="Cambria" w:hAnsi="Cambria" w:cs="Cambria"/>
          <w:sz w:val="22"/>
          <w:szCs w:val="22"/>
        </w:rPr>
      </w:pPr>
    </w:p>
    <w:p w14:paraId="4204C121" w14:textId="77777777" w:rsidR="002D5726" w:rsidRPr="005D550B" w:rsidRDefault="002D5726" w:rsidP="002D5726">
      <w:pPr>
        <w:rPr>
          <w:rFonts w:ascii="Cambria" w:eastAsia="Cambria" w:hAnsi="Cambria" w:cs="Cambria"/>
          <w:sz w:val="22"/>
          <w:szCs w:val="22"/>
        </w:rPr>
      </w:pPr>
    </w:p>
    <w:p w14:paraId="6D3312FC" w14:textId="2554DAEE" w:rsidR="00753C71" w:rsidRPr="005D550B" w:rsidRDefault="00753C71" w:rsidP="00753C71">
      <w:pPr>
        <w:widowControl w:val="0"/>
        <w:tabs>
          <w:tab w:val="left" w:pos="540"/>
        </w:tabs>
        <w:rPr>
          <w:rFonts w:ascii="Cambria" w:eastAsia="Cambria" w:hAnsi="Cambria" w:cs="Cambria"/>
        </w:rPr>
      </w:pPr>
      <w:r w:rsidRPr="005D550B">
        <w:rPr>
          <w:rFonts w:ascii="Cambria" w:eastAsia="Cambria" w:hAnsi="Cambria" w:cs="Cambria"/>
        </w:rPr>
        <w:lastRenderedPageBreak/>
        <w:t xml:space="preserve">Table 2. Themes regarding </w:t>
      </w:r>
      <w:r w:rsidR="00AE2D5B" w:rsidRPr="00AE2D5B">
        <w:rPr>
          <w:rFonts w:ascii="Cambria" w:eastAsia="Cambria" w:hAnsi="Cambria" w:cs="Cambria"/>
        </w:rPr>
        <w:t>geothermal power plant/</w:t>
      </w:r>
      <w:r w:rsidR="00AE2D5B" w:rsidRPr="00AE2D5B">
        <w:rPr>
          <w:rFonts w:ascii="Cambria" w:eastAsia="Cambria" w:hAnsi="Cambria" w:cs="Cambria"/>
          <w:i/>
          <w:iCs/>
          <w:lang w:val="id-ID"/>
        </w:rPr>
        <w:t>pembangkit listrik tenaga panas bumi</w:t>
      </w:r>
      <w:r w:rsidR="00AE2D5B" w:rsidRPr="00AE2D5B">
        <w:rPr>
          <w:rFonts w:ascii="Cambria" w:eastAsia="Cambria" w:hAnsi="Cambria" w:cs="Cambria"/>
          <w:lang w:val="en-ID"/>
        </w:rPr>
        <w:t xml:space="preserve"> (</w:t>
      </w:r>
      <w:r w:rsidR="00AE2D5B" w:rsidRPr="00AE2D5B">
        <w:rPr>
          <w:rFonts w:ascii="Cambria" w:eastAsia="Cambria" w:hAnsi="Cambria" w:cs="Cambria"/>
        </w:rPr>
        <w:t>PLTP)</w:t>
      </w:r>
    </w:p>
    <w:tbl>
      <w:tblPr>
        <w:tblW w:w="497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5"/>
        <w:gridCol w:w="1527"/>
        <w:gridCol w:w="1052"/>
        <w:gridCol w:w="4441"/>
      </w:tblGrid>
      <w:tr w:rsidR="00CD770C" w:rsidRPr="005D550B" w14:paraId="34246DF5" w14:textId="4272685D" w:rsidTr="00AE2D5B">
        <w:trPr>
          <w:trHeight w:val="20"/>
          <w:tblHeader/>
        </w:trPr>
        <w:tc>
          <w:tcPr>
            <w:tcW w:w="849" w:type="pct"/>
            <w:tcBorders>
              <w:top w:val="single" w:sz="4" w:space="0" w:color="000000"/>
              <w:left w:val="single" w:sz="4" w:space="0" w:color="FFFFFF"/>
              <w:bottom w:val="single" w:sz="4" w:space="0" w:color="auto"/>
              <w:right w:val="single" w:sz="4" w:space="0" w:color="FFFFFF"/>
            </w:tcBorders>
            <w:hideMark/>
          </w:tcPr>
          <w:p w14:paraId="5B6C2DE7" w14:textId="76422075" w:rsidR="00CD770C" w:rsidRPr="005D550B" w:rsidRDefault="00CD770C" w:rsidP="00D6424B">
            <w:pPr>
              <w:ind w:left="-118"/>
              <w:jc w:val="left"/>
              <w:rPr>
                <w:rFonts w:ascii="Cambria" w:eastAsia="Cambria" w:hAnsi="Cambria" w:cs="Cambria"/>
              </w:rPr>
            </w:pPr>
            <w:r w:rsidRPr="005D550B">
              <w:rPr>
                <w:rFonts w:ascii="Cambria" w:eastAsia="Cambria" w:hAnsi="Cambria" w:cs="Cambria"/>
              </w:rPr>
              <w:t>Theme</w:t>
            </w:r>
          </w:p>
        </w:tc>
        <w:tc>
          <w:tcPr>
            <w:tcW w:w="903" w:type="pct"/>
            <w:tcBorders>
              <w:top w:val="single" w:sz="4" w:space="0" w:color="000000"/>
              <w:left w:val="single" w:sz="4" w:space="0" w:color="FFFFFF"/>
              <w:bottom w:val="single" w:sz="4" w:space="0" w:color="000000"/>
              <w:right w:val="single" w:sz="4" w:space="0" w:color="FFFFFF"/>
            </w:tcBorders>
            <w:hideMark/>
          </w:tcPr>
          <w:p w14:paraId="6029E789" w14:textId="178A2279" w:rsidR="00CD770C" w:rsidRPr="005D550B" w:rsidRDefault="008D2047" w:rsidP="00D6424B">
            <w:pPr>
              <w:ind w:left="-118"/>
              <w:jc w:val="left"/>
              <w:rPr>
                <w:rFonts w:ascii="Cambria" w:eastAsia="Cambria" w:hAnsi="Cambria" w:cs="Cambria"/>
              </w:rPr>
            </w:pPr>
            <w:r w:rsidRPr="005D550B">
              <w:rPr>
                <w:rFonts w:ascii="Cambria" w:eastAsia="Cambria" w:hAnsi="Cambria" w:cs="Cambria"/>
              </w:rPr>
              <w:t>Sub-theme</w:t>
            </w:r>
          </w:p>
        </w:tc>
        <w:tc>
          <w:tcPr>
            <w:tcW w:w="622" w:type="pct"/>
            <w:tcBorders>
              <w:top w:val="single" w:sz="4" w:space="0" w:color="000000"/>
              <w:left w:val="single" w:sz="4" w:space="0" w:color="FFFFFF"/>
              <w:bottom w:val="single" w:sz="4" w:space="0" w:color="000000"/>
              <w:right w:val="single" w:sz="4" w:space="0" w:color="FFFFFF"/>
            </w:tcBorders>
            <w:hideMark/>
          </w:tcPr>
          <w:p w14:paraId="42A44CD5" w14:textId="0C550730" w:rsidR="00CD770C" w:rsidRPr="005D550B" w:rsidRDefault="008D2047" w:rsidP="00D6424B">
            <w:pPr>
              <w:ind w:left="-118"/>
              <w:jc w:val="left"/>
              <w:rPr>
                <w:rFonts w:ascii="Cambria" w:eastAsia="Cambria" w:hAnsi="Cambria" w:cs="Cambria"/>
              </w:rPr>
            </w:pPr>
            <w:r w:rsidRPr="005D550B">
              <w:rPr>
                <w:rFonts w:ascii="Cambria" w:eastAsia="Cambria" w:hAnsi="Cambria" w:cs="Cambria"/>
              </w:rPr>
              <w:t>Frequency</w:t>
            </w:r>
          </w:p>
        </w:tc>
        <w:tc>
          <w:tcPr>
            <w:tcW w:w="2626" w:type="pct"/>
            <w:tcBorders>
              <w:top w:val="single" w:sz="4" w:space="0" w:color="000000"/>
              <w:left w:val="single" w:sz="4" w:space="0" w:color="FFFFFF"/>
              <w:bottom w:val="single" w:sz="4" w:space="0" w:color="000000"/>
              <w:right w:val="single" w:sz="4" w:space="0" w:color="FFFFFF"/>
            </w:tcBorders>
          </w:tcPr>
          <w:p w14:paraId="3A1A9991" w14:textId="0AA9C0F4" w:rsidR="00CD770C" w:rsidRPr="005D550B" w:rsidRDefault="008D2047" w:rsidP="00D6424B">
            <w:pPr>
              <w:ind w:left="-118"/>
              <w:jc w:val="left"/>
              <w:rPr>
                <w:rFonts w:ascii="Cambria" w:eastAsia="Cambria" w:hAnsi="Cambria" w:cs="Cambria"/>
              </w:rPr>
            </w:pPr>
            <w:r w:rsidRPr="005D550B">
              <w:rPr>
                <w:rFonts w:ascii="Cambria" w:eastAsia="Cambria" w:hAnsi="Cambria" w:cs="Cambria"/>
              </w:rPr>
              <w:t>Info</w:t>
            </w:r>
          </w:p>
        </w:tc>
      </w:tr>
      <w:tr w:rsidR="000643C5" w:rsidRPr="005D550B" w14:paraId="3EF71A18" w14:textId="29822B17" w:rsidTr="00AE2D5B">
        <w:trPr>
          <w:trHeight w:val="20"/>
        </w:trPr>
        <w:tc>
          <w:tcPr>
            <w:tcW w:w="849" w:type="pct"/>
            <w:tcBorders>
              <w:top w:val="single" w:sz="4" w:space="0" w:color="auto"/>
              <w:left w:val="nil"/>
              <w:bottom w:val="nil"/>
              <w:right w:val="nil"/>
            </w:tcBorders>
            <w:hideMark/>
          </w:tcPr>
          <w:p w14:paraId="749B1D07" w14:textId="6C72D2F2" w:rsidR="00CD770C" w:rsidRPr="005D550B" w:rsidRDefault="00CD770C" w:rsidP="00D6424B">
            <w:pPr>
              <w:ind w:left="-118"/>
              <w:jc w:val="left"/>
              <w:rPr>
                <w:rFonts w:ascii="Cambria" w:eastAsia="Cambria" w:hAnsi="Cambria" w:cs="Cambria"/>
              </w:rPr>
            </w:pPr>
          </w:p>
        </w:tc>
        <w:tc>
          <w:tcPr>
            <w:tcW w:w="903" w:type="pct"/>
            <w:tcBorders>
              <w:top w:val="single" w:sz="4" w:space="0" w:color="000000"/>
              <w:left w:val="nil"/>
              <w:bottom w:val="single" w:sz="4" w:space="0" w:color="FFFFFF"/>
              <w:right w:val="single" w:sz="4" w:space="0" w:color="FFFFFF"/>
            </w:tcBorders>
            <w:hideMark/>
          </w:tcPr>
          <w:p w14:paraId="7DB58B40" w14:textId="6C2FA733" w:rsidR="00CD770C" w:rsidRPr="005D550B" w:rsidRDefault="00CD770C" w:rsidP="00D6424B">
            <w:pPr>
              <w:ind w:left="-118"/>
              <w:jc w:val="left"/>
              <w:rPr>
                <w:rFonts w:ascii="Cambria" w:eastAsia="Cambria" w:hAnsi="Cambria" w:cs="Cambria"/>
              </w:rPr>
            </w:pPr>
            <w:r w:rsidRPr="005D550B">
              <w:rPr>
                <w:rFonts w:ascii="Cambria" w:eastAsia="Cambria" w:hAnsi="Cambria" w:cs="Cambria"/>
              </w:rPr>
              <w:t>Development and Equality</w:t>
            </w:r>
          </w:p>
        </w:tc>
        <w:tc>
          <w:tcPr>
            <w:tcW w:w="622" w:type="pct"/>
            <w:tcBorders>
              <w:top w:val="single" w:sz="4" w:space="0" w:color="000000"/>
              <w:left w:val="single" w:sz="4" w:space="0" w:color="FFFFFF"/>
              <w:bottom w:val="single" w:sz="4" w:space="0" w:color="FFFFFF"/>
              <w:right w:val="single" w:sz="4" w:space="0" w:color="FFFFFF"/>
            </w:tcBorders>
            <w:hideMark/>
          </w:tcPr>
          <w:p w14:paraId="38AC243D" w14:textId="4826385A" w:rsidR="00CD770C" w:rsidRPr="005D550B" w:rsidRDefault="00CD770C" w:rsidP="00D6424B">
            <w:pPr>
              <w:ind w:left="-118"/>
              <w:jc w:val="left"/>
              <w:rPr>
                <w:rFonts w:ascii="Cambria" w:eastAsia="Cambria" w:hAnsi="Cambria" w:cs="Cambria"/>
              </w:rPr>
            </w:pPr>
            <w:r w:rsidRPr="005D550B">
              <w:rPr>
                <w:rFonts w:ascii="Cambria" w:eastAsia="Cambria" w:hAnsi="Cambria" w:cs="Cambria"/>
              </w:rPr>
              <w:t>22</w:t>
            </w:r>
          </w:p>
        </w:tc>
        <w:tc>
          <w:tcPr>
            <w:tcW w:w="2626" w:type="pct"/>
            <w:tcBorders>
              <w:top w:val="single" w:sz="4" w:space="0" w:color="000000"/>
              <w:left w:val="single" w:sz="4" w:space="0" w:color="FFFFFF"/>
              <w:bottom w:val="single" w:sz="4" w:space="0" w:color="FFFFFF"/>
              <w:right w:val="single" w:sz="4" w:space="0" w:color="FFFFFF"/>
            </w:tcBorders>
          </w:tcPr>
          <w:p w14:paraId="01BBDBEA" w14:textId="4F5F1854" w:rsidR="008D2047" w:rsidRPr="005D550B" w:rsidRDefault="00CD770C" w:rsidP="005D550B">
            <w:pPr>
              <w:ind w:left="-118"/>
              <w:jc w:val="left"/>
              <w:rPr>
                <w:rFonts w:ascii="Cambria" w:eastAsia="Cambria" w:hAnsi="Cambria" w:cs="Cambria"/>
              </w:rPr>
            </w:pPr>
            <w:r w:rsidRPr="005D550B">
              <w:rPr>
                <w:rFonts w:ascii="Cambria" w:eastAsia="Cambria" w:hAnsi="Cambria" w:cs="Cambria"/>
              </w:rPr>
              <w:t>Narratives framing the project as a catalyst for prosperity, rural electrification, employment opportunities, or Corporate Social Responsibility (CSR) benefits.</w:t>
            </w:r>
          </w:p>
        </w:tc>
      </w:tr>
      <w:tr w:rsidR="008F3816" w:rsidRPr="005D550B" w14:paraId="7C22DC8C" w14:textId="1EF04939" w:rsidTr="00AE2D5B">
        <w:trPr>
          <w:trHeight w:val="20"/>
        </w:trPr>
        <w:tc>
          <w:tcPr>
            <w:tcW w:w="849" w:type="pct"/>
            <w:vMerge w:val="restart"/>
            <w:tcBorders>
              <w:top w:val="nil"/>
              <w:left w:val="nil"/>
              <w:bottom w:val="nil"/>
              <w:right w:val="nil"/>
            </w:tcBorders>
            <w:hideMark/>
          </w:tcPr>
          <w:p w14:paraId="28B0CDB5" w14:textId="09E2A514" w:rsidR="000643C5" w:rsidRPr="005D550B" w:rsidRDefault="008F3816" w:rsidP="00D6424B">
            <w:pPr>
              <w:ind w:left="-118"/>
              <w:jc w:val="left"/>
              <w:rPr>
                <w:rFonts w:ascii="Cambria" w:eastAsia="Cambria" w:hAnsi="Cambria" w:cs="Cambria"/>
              </w:rPr>
            </w:pPr>
            <w:r w:rsidRPr="005D550B">
              <w:rPr>
                <w:rFonts w:ascii="Cambria" w:eastAsia="Cambria" w:hAnsi="Cambria" w:cs="Cambria"/>
              </w:rPr>
              <w:t>Legitimacy</w:t>
            </w:r>
          </w:p>
        </w:tc>
        <w:tc>
          <w:tcPr>
            <w:tcW w:w="903" w:type="pct"/>
            <w:tcBorders>
              <w:top w:val="single" w:sz="4" w:space="0" w:color="FFFFFF"/>
              <w:left w:val="nil"/>
              <w:bottom w:val="single" w:sz="4" w:space="0" w:color="FFFFFF"/>
              <w:right w:val="single" w:sz="4" w:space="0" w:color="FFFFFF"/>
            </w:tcBorders>
            <w:hideMark/>
          </w:tcPr>
          <w:p w14:paraId="21D05B11" w14:textId="3CB403A9" w:rsidR="000643C5" w:rsidRPr="005D550B" w:rsidRDefault="000643C5" w:rsidP="00D6424B">
            <w:pPr>
              <w:ind w:left="-118"/>
              <w:jc w:val="left"/>
              <w:rPr>
                <w:rFonts w:ascii="Cambria" w:eastAsia="Cambria" w:hAnsi="Cambria" w:cs="Cambria"/>
              </w:rPr>
            </w:pPr>
            <w:r w:rsidRPr="005D550B">
              <w:rPr>
                <w:rFonts w:ascii="Cambria" w:eastAsia="Cambria" w:hAnsi="Cambria" w:cs="Cambria"/>
              </w:rPr>
              <w:t>Supporting</w:t>
            </w:r>
          </w:p>
        </w:tc>
        <w:tc>
          <w:tcPr>
            <w:tcW w:w="622" w:type="pct"/>
            <w:tcBorders>
              <w:top w:val="single" w:sz="4" w:space="0" w:color="FFFFFF"/>
              <w:left w:val="single" w:sz="4" w:space="0" w:color="FFFFFF"/>
              <w:bottom w:val="single" w:sz="4" w:space="0" w:color="FFFFFF"/>
              <w:right w:val="single" w:sz="4" w:space="0" w:color="FFFFFF"/>
            </w:tcBorders>
            <w:hideMark/>
          </w:tcPr>
          <w:p w14:paraId="51426B80" w14:textId="51F1FD76" w:rsidR="000643C5" w:rsidRPr="005D550B" w:rsidRDefault="000643C5" w:rsidP="00D6424B">
            <w:pPr>
              <w:ind w:left="-118"/>
              <w:jc w:val="left"/>
              <w:rPr>
                <w:rFonts w:ascii="Cambria" w:eastAsia="Cambria" w:hAnsi="Cambria" w:cs="Cambria"/>
              </w:rPr>
            </w:pPr>
            <w:r w:rsidRPr="005D550B">
              <w:rPr>
                <w:rFonts w:ascii="Cambria" w:eastAsia="Cambria" w:hAnsi="Cambria" w:cs="Cambria"/>
              </w:rPr>
              <w:t>18</w:t>
            </w:r>
          </w:p>
        </w:tc>
        <w:tc>
          <w:tcPr>
            <w:tcW w:w="2626" w:type="pct"/>
            <w:tcBorders>
              <w:top w:val="single" w:sz="4" w:space="0" w:color="FFFFFF"/>
              <w:left w:val="single" w:sz="4" w:space="0" w:color="FFFFFF"/>
              <w:bottom w:val="single" w:sz="4" w:space="0" w:color="FFFFFF"/>
              <w:right w:val="single" w:sz="4" w:space="0" w:color="FFFFFF"/>
            </w:tcBorders>
          </w:tcPr>
          <w:p w14:paraId="0335BF71" w14:textId="1BC0D2AE" w:rsidR="000643C5" w:rsidRPr="005D550B" w:rsidRDefault="000643C5" w:rsidP="005D550B">
            <w:pPr>
              <w:ind w:left="-118"/>
              <w:jc w:val="left"/>
              <w:rPr>
                <w:rFonts w:ascii="Cambria" w:eastAsia="Cambria" w:hAnsi="Cambria" w:cs="Cambria"/>
              </w:rPr>
            </w:pPr>
            <w:r w:rsidRPr="005D550B">
              <w:rPr>
                <w:rFonts w:ascii="Cambria" w:eastAsia="Cambria" w:hAnsi="Cambria" w:cs="Cambria"/>
              </w:rPr>
              <w:t>Statements from select residents or local figures expressing support for the Geothermal Working Area (WKP) projects.</w:t>
            </w:r>
          </w:p>
        </w:tc>
      </w:tr>
      <w:tr w:rsidR="000643C5" w:rsidRPr="005D550B" w14:paraId="645ADC5F" w14:textId="3FFE1137" w:rsidTr="00AE2D5B">
        <w:trPr>
          <w:trHeight w:val="20"/>
        </w:trPr>
        <w:tc>
          <w:tcPr>
            <w:tcW w:w="849" w:type="pct"/>
            <w:vMerge/>
            <w:tcBorders>
              <w:top w:val="nil"/>
              <w:left w:val="nil"/>
              <w:bottom w:val="nil"/>
              <w:right w:val="nil"/>
            </w:tcBorders>
            <w:hideMark/>
          </w:tcPr>
          <w:p w14:paraId="6073D8E6" w14:textId="09682C70" w:rsidR="000643C5" w:rsidRPr="005D550B" w:rsidRDefault="000643C5" w:rsidP="00D6424B">
            <w:pPr>
              <w:ind w:left="-118"/>
              <w:jc w:val="left"/>
              <w:rPr>
                <w:rFonts w:ascii="Cambria" w:eastAsia="Cambria" w:hAnsi="Cambria" w:cs="Cambria"/>
              </w:rPr>
            </w:pPr>
          </w:p>
        </w:tc>
        <w:tc>
          <w:tcPr>
            <w:tcW w:w="903" w:type="pct"/>
            <w:tcBorders>
              <w:top w:val="single" w:sz="4" w:space="0" w:color="FFFFFF"/>
              <w:left w:val="nil"/>
              <w:bottom w:val="single" w:sz="4" w:space="0" w:color="FFFFFF"/>
              <w:right w:val="single" w:sz="4" w:space="0" w:color="FFFFFF"/>
            </w:tcBorders>
            <w:hideMark/>
          </w:tcPr>
          <w:p w14:paraId="5754DB13" w14:textId="2A604E84" w:rsidR="000643C5" w:rsidRPr="005D550B" w:rsidRDefault="000643C5" w:rsidP="00D6424B">
            <w:pPr>
              <w:ind w:left="-118"/>
              <w:jc w:val="left"/>
              <w:rPr>
                <w:rFonts w:ascii="Cambria" w:eastAsia="Cambria" w:hAnsi="Cambria" w:cs="Cambria"/>
              </w:rPr>
            </w:pPr>
            <w:r w:rsidRPr="005D550B">
              <w:rPr>
                <w:rFonts w:ascii="Cambria" w:eastAsia="Cambria" w:hAnsi="Cambria" w:cs="Cambria"/>
              </w:rPr>
              <w:t>National targets and International Commitments</w:t>
            </w:r>
          </w:p>
        </w:tc>
        <w:tc>
          <w:tcPr>
            <w:tcW w:w="622" w:type="pct"/>
            <w:tcBorders>
              <w:top w:val="single" w:sz="4" w:space="0" w:color="FFFFFF"/>
              <w:left w:val="single" w:sz="4" w:space="0" w:color="FFFFFF"/>
              <w:bottom w:val="single" w:sz="4" w:space="0" w:color="FFFFFF"/>
              <w:right w:val="single" w:sz="4" w:space="0" w:color="FFFFFF"/>
            </w:tcBorders>
            <w:hideMark/>
          </w:tcPr>
          <w:p w14:paraId="6D655AD7" w14:textId="1E9D346B" w:rsidR="000643C5" w:rsidRPr="005D550B" w:rsidRDefault="000643C5" w:rsidP="00D6424B">
            <w:pPr>
              <w:ind w:left="-118"/>
              <w:jc w:val="left"/>
              <w:rPr>
                <w:rFonts w:ascii="Cambria" w:eastAsia="Cambria" w:hAnsi="Cambria" w:cs="Cambria"/>
              </w:rPr>
            </w:pPr>
            <w:r w:rsidRPr="005D550B">
              <w:rPr>
                <w:rFonts w:ascii="Cambria" w:eastAsia="Cambria" w:hAnsi="Cambria" w:cs="Cambria"/>
              </w:rPr>
              <w:t>12</w:t>
            </w:r>
          </w:p>
        </w:tc>
        <w:tc>
          <w:tcPr>
            <w:tcW w:w="2626" w:type="pct"/>
            <w:tcBorders>
              <w:top w:val="single" w:sz="4" w:space="0" w:color="FFFFFF"/>
              <w:left w:val="single" w:sz="4" w:space="0" w:color="FFFFFF"/>
              <w:bottom w:val="single" w:sz="4" w:space="0" w:color="FFFFFF"/>
              <w:right w:val="single" w:sz="4" w:space="0" w:color="FFFFFF"/>
            </w:tcBorders>
          </w:tcPr>
          <w:p w14:paraId="10E7498C" w14:textId="22E13A8B" w:rsidR="000643C5" w:rsidRPr="005D550B" w:rsidRDefault="000643C5" w:rsidP="00D6424B">
            <w:pPr>
              <w:ind w:left="-118"/>
              <w:jc w:val="left"/>
              <w:rPr>
                <w:rFonts w:ascii="Cambria" w:eastAsia="Cambria" w:hAnsi="Cambria" w:cs="Cambria"/>
              </w:rPr>
            </w:pPr>
            <w:r w:rsidRPr="005D550B">
              <w:rPr>
                <w:rFonts w:ascii="Cambria" w:eastAsia="Cambria" w:hAnsi="Cambria" w:cs="Cambria"/>
              </w:rPr>
              <w:t>Statements associating the projects with PSN mandates, the broader energy transition, or international climate commitments (e.g., the Paris Agreement).</w:t>
            </w:r>
          </w:p>
        </w:tc>
      </w:tr>
      <w:tr w:rsidR="000643C5" w:rsidRPr="005D550B" w14:paraId="714C267F" w14:textId="77777777" w:rsidTr="00AE2D5B">
        <w:trPr>
          <w:trHeight w:val="20"/>
        </w:trPr>
        <w:tc>
          <w:tcPr>
            <w:tcW w:w="849" w:type="pct"/>
            <w:vMerge/>
            <w:tcBorders>
              <w:top w:val="nil"/>
              <w:left w:val="nil"/>
              <w:bottom w:val="nil"/>
              <w:right w:val="nil"/>
            </w:tcBorders>
          </w:tcPr>
          <w:p w14:paraId="70387E2A" w14:textId="77777777" w:rsidR="000643C5" w:rsidRPr="005D550B" w:rsidRDefault="000643C5" w:rsidP="00D6424B">
            <w:pPr>
              <w:ind w:left="-118"/>
              <w:jc w:val="left"/>
              <w:rPr>
                <w:rFonts w:ascii="Cambria" w:eastAsia="Cambria" w:hAnsi="Cambria" w:cs="Cambria"/>
              </w:rPr>
            </w:pPr>
          </w:p>
        </w:tc>
        <w:tc>
          <w:tcPr>
            <w:tcW w:w="903" w:type="pct"/>
            <w:tcBorders>
              <w:top w:val="single" w:sz="4" w:space="0" w:color="FFFFFF"/>
              <w:left w:val="nil"/>
              <w:bottom w:val="single" w:sz="4" w:space="0" w:color="FFFFFF"/>
              <w:right w:val="single" w:sz="4" w:space="0" w:color="FFFFFF"/>
            </w:tcBorders>
          </w:tcPr>
          <w:p w14:paraId="424D010D" w14:textId="17430706" w:rsidR="000643C5" w:rsidRPr="005D550B" w:rsidRDefault="000643C5" w:rsidP="00D6424B">
            <w:pPr>
              <w:ind w:left="-118"/>
              <w:jc w:val="left"/>
              <w:rPr>
                <w:rFonts w:ascii="Cambria" w:eastAsia="Cambria" w:hAnsi="Cambria" w:cs="Cambria"/>
              </w:rPr>
            </w:pPr>
            <w:r w:rsidRPr="005D550B">
              <w:rPr>
                <w:rFonts w:ascii="Cambria" w:eastAsia="Cambria" w:hAnsi="Cambria" w:cs="Cambria"/>
              </w:rPr>
              <w:t>Legal Process</w:t>
            </w:r>
          </w:p>
        </w:tc>
        <w:tc>
          <w:tcPr>
            <w:tcW w:w="622" w:type="pct"/>
            <w:tcBorders>
              <w:top w:val="single" w:sz="4" w:space="0" w:color="FFFFFF"/>
              <w:left w:val="single" w:sz="4" w:space="0" w:color="FFFFFF"/>
              <w:bottom w:val="single" w:sz="4" w:space="0" w:color="FFFFFF"/>
              <w:right w:val="single" w:sz="4" w:space="0" w:color="FFFFFF"/>
            </w:tcBorders>
          </w:tcPr>
          <w:p w14:paraId="1F2E29DD" w14:textId="67BA135F" w:rsidR="000643C5" w:rsidRPr="005D550B" w:rsidRDefault="000643C5" w:rsidP="00D6424B">
            <w:pPr>
              <w:ind w:left="-118"/>
              <w:jc w:val="left"/>
              <w:rPr>
                <w:rFonts w:ascii="Cambria" w:eastAsia="Cambria" w:hAnsi="Cambria" w:cs="Cambria"/>
              </w:rPr>
            </w:pPr>
            <w:r w:rsidRPr="005D550B">
              <w:rPr>
                <w:rFonts w:ascii="Cambria" w:eastAsia="Cambria" w:hAnsi="Cambria" w:cs="Cambria"/>
              </w:rPr>
              <w:t>12</w:t>
            </w:r>
          </w:p>
        </w:tc>
        <w:tc>
          <w:tcPr>
            <w:tcW w:w="2626" w:type="pct"/>
            <w:tcBorders>
              <w:top w:val="single" w:sz="4" w:space="0" w:color="FFFFFF"/>
              <w:left w:val="single" w:sz="4" w:space="0" w:color="FFFFFF"/>
              <w:bottom w:val="single" w:sz="4" w:space="0" w:color="FFFFFF"/>
              <w:right w:val="single" w:sz="4" w:space="0" w:color="FFFFFF"/>
            </w:tcBorders>
          </w:tcPr>
          <w:p w14:paraId="4908CA78" w14:textId="67D963C4" w:rsidR="000643C5" w:rsidRPr="005D550B" w:rsidRDefault="000643C5" w:rsidP="005D550B">
            <w:pPr>
              <w:ind w:left="-118"/>
              <w:jc w:val="left"/>
              <w:rPr>
                <w:rFonts w:ascii="Cambria" w:eastAsia="Cambria" w:hAnsi="Cambria" w:cs="Cambria"/>
              </w:rPr>
            </w:pPr>
            <w:r w:rsidRPr="005D550B">
              <w:rPr>
                <w:rFonts w:ascii="Cambria" w:eastAsia="Cambria" w:hAnsi="Cambria" w:cs="Cambria"/>
              </w:rPr>
              <w:t>Claims asserting that the permitting process, Environmental Impact Assessments</w:t>
            </w:r>
            <w:r w:rsidR="002765E7">
              <w:rPr>
                <w:rFonts w:ascii="Cambria" w:eastAsia="Cambria" w:hAnsi="Cambria" w:cs="Cambria"/>
              </w:rPr>
              <w:t>/</w:t>
            </w:r>
            <w:proofErr w:type="spellStart"/>
            <w:r w:rsidR="002765E7" w:rsidRPr="002765E7">
              <w:rPr>
                <w:rFonts w:ascii="Cambria" w:eastAsia="Cambria" w:hAnsi="Cambria" w:cs="Cambria"/>
                <w:i/>
                <w:iCs/>
              </w:rPr>
              <w:t>Analisis</w:t>
            </w:r>
            <w:proofErr w:type="spellEnd"/>
            <w:r w:rsidR="002765E7" w:rsidRPr="002765E7">
              <w:rPr>
                <w:rFonts w:ascii="Cambria" w:eastAsia="Cambria" w:hAnsi="Cambria" w:cs="Cambria"/>
                <w:i/>
                <w:iCs/>
              </w:rPr>
              <w:t xml:space="preserve"> </w:t>
            </w:r>
            <w:proofErr w:type="spellStart"/>
            <w:r w:rsidR="002765E7" w:rsidRPr="002765E7">
              <w:rPr>
                <w:rFonts w:ascii="Cambria" w:eastAsia="Cambria" w:hAnsi="Cambria" w:cs="Cambria"/>
                <w:i/>
                <w:iCs/>
              </w:rPr>
              <w:t>Mengenai</w:t>
            </w:r>
            <w:proofErr w:type="spellEnd"/>
            <w:r w:rsidR="002765E7" w:rsidRPr="002765E7">
              <w:rPr>
                <w:rFonts w:ascii="Cambria" w:eastAsia="Cambria" w:hAnsi="Cambria" w:cs="Cambria"/>
                <w:i/>
                <w:iCs/>
              </w:rPr>
              <w:t xml:space="preserve"> </w:t>
            </w:r>
            <w:proofErr w:type="spellStart"/>
            <w:r w:rsidR="002765E7" w:rsidRPr="002765E7">
              <w:rPr>
                <w:rFonts w:ascii="Cambria" w:eastAsia="Cambria" w:hAnsi="Cambria" w:cs="Cambria"/>
                <w:i/>
                <w:iCs/>
              </w:rPr>
              <w:t>Dampak</w:t>
            </w:r>
            <w:proofErr w:type="spellEnd"/>
            <w:r w:rsidR="002765E7" w:rsidRPr="002765E7">
              <w:rPr>
                <w:rFonts w:ascii="Cambria" w:eastAsia="Cambria" w:hAnsi="Cambria" w:cs="Cambria"/>
                <w:i/>
                <w:iCs/>
              </w:rPr>
              <w:t xml:space="preserve"> </w:t>
            </w:r>
            <w:proofErr w:type="spellStart"/>
            <w:r w:rsidR="002765E7" w:rsidRPr="002765E7">
              <w:rPr>
                <w:rFonts w:ascii="Cambria" w:eastAsia="Cambria" w:hAnsi="Cambria" w:cs="Cambria"/>
                <w:i/>
                <w:iCs/>
              </w:rPr>
              <w:t>Lingkungan</w:t>
            </w:r>
            <w:proofErr w:type="spellEnd"/>
            <w:r w:rsidR="002765E7" w:rsidRPr="002765E7">
              <w:rPr>
                <w:rFonts w:ascii="Cambria" w:eastAsia="Cambria" w:hAnsi="Cambria" w:cs="Cambria"/>
              </w:rPr>
              <w:t xml:space="preserve"> </w:t>
            </w:r>
            <w:r w:rsidRPr="005D550B">
              <w:rPr>
                <w:rFonts w:ascii="Cambria" w:eastAsia="Cambria" w:hAnsi="Cambria" w:cs="Cambria"/>
              </w:rPr>
              <w:t>(AMDAL), and project phases strictly comply with legal and regulatory procedures.</w:t>
            </w:r>
          </w:p>
        </w:tc>
      </w:tr>
      <w:tr w:rsidR="000643C5" w:rsidRPr="005D550B" w14:paraId="10B74C91" w14:textId="77777777" w:rsidTr="00AE2D5B">
        <w:trPr>
          <w:trHeight w:val="20"/>
        </w:trPr>
        <w:tc>
          <w:tcPr>
            <w:tcW w:w="849" w:type="pct"/>
            <w:vMerge/>
            <w:tcBorders>
              <w:top w:val="nil"/>
              <w:left w:val="nil"/>
              <w:bottom w:val="nil"/>
              <w:right w:val="nil"/>
            </w:tcBorders>
          </w:tcPr>
          <w:p w14:paraId="74B023CD" w14:textId="77777777" w:rsidR="000643C5" w:rsidRPr="005D550B" w:rsidRDefault="000643C5" w:rsidP="00D6424B">
            <w:pPr>
              <w:ind w:left="-118"/>
              <w:jc w:val="left"/>
              <w:rPr>
                <w:rFonts w:ascii="Cambria" w:eastAsia="Cambria" w:hAnsi="Cambria" w:cs="Cambria"/>
              </w:rPr>
            </w:pPr>
          </w:p>
        </w:tc>
        <w:tc>
          <w:tcPr>
            <w:tcW w:w="903" w:type="pct"/>
            <w:tcBorders>
              <w:top w:val="single" w:sz="4" w:space="0" w:color="FFFFFF"/>
              <w:left w:val="nil"/>
              <w:bottom w:val="single" w:sz="4" w:space="0" w:color="FFFFFF"/>
              <w:right w:val="single" w:sz="4" w:space="0" w:color="FFFFFF"/>
            </w:tcBorders>
          </w:tcPr>
          <w:p w14:paraId="245A54A1" w14:textId="5F2BE03D" w:rsidR="000643C5" w:rsidRPr="005D550B" w:rsidRDefault="000643C5" w:rsidP="00D6424B">
            <w:pPr>
              <w:ind w:left="-118"/>
              <w:jc w:val="left"/>
              <w:rPr>
                <w:rFonts w:ascii="Cambria" w:eastAsia="Cambria" w:hAnsi="Cambria" w:cs="Cambria"/>
              </w:rPr>
            </w:pPr>
            <w:r w:rsidRPr="005D550B">
              <w:rPr>
                <w:rFonts w:ascii="Cambria" w:eastAsia="Cambria" w:hAnsi="Cambria" w:cs="Cambria"/>
              </w:rPr>
              <w:t>Funding and Investments</w:t>
            </w:r>
          </w:p>
        </w:tc>
        <w:tc>
          <w:tcPr>
            <w:tcW w:w="622" w:type="pct"/>
            <w:tcBorders>
              <w:top w:val="single" w:sz="4" w:space="0" w:color="FFFFFF"/>
              <w:left w:val="single" w:sz="4" w:space="0" w:color="FFFFFF"/>
              <w:bottom w:val="single" w:sz="4" w:space="0" w:color="FFFFFF"/>
              <w:right w:val="single" w:sz="4" w:space="0" w:color="FFFFFF"/>
            </w:tcBorders>
          </w:tcPr>
          <w:p w14:paraId="386D605B" w14:textId="05A683C4" w:rsidR="000643C5" w:rsidRPr="005D550B" w:rsidRDefault="000643C5" w:rsidP="00D6424B">
            <w:pPr>
              <w:ind w:left="-118"/>
              <w:jc w:val="left"/>
              <w:rPr>
                <w:rFonts w:ascii="Cambria" w:eastAsia="Cambria" w:hAnsi="Cambria" w:cs="Cambria"/>
              </w:rPr>
            </w:pPr>
            <w:r w:rsidRPr="005D550B">
              <w:rPr>
                <w:rFonts w:ascii="Cambria" w:eastAsia="Cambria" w:hAnsi="Cambria" w:cs="Cambria"/>
              </w:rPr>
              <w:t>1</w:t>
            </w:r>
          </w:p>
        </w:tc>
        <w:tc>
          <w:tcPr>
            <w:tcW w:w="2626" w:type="pct"/>
            <w:tcBorders>
              <w:top w:val="single" w:sz="4" w:space="0" w:color="FFFFFF"/>
              <w:left w:val="single" w:sz="4" w:space="0" w:color="FFFFFF"/>
              <w:bottom w:val="single" w:sz="4" w:space="0" w:color="FFFFFF"/>
              <w:right w:val="single" w:sz="4" w:space="0" w:color="FFFFFF"/>
            </w:tcBorders>
          </w:tcPr>
          <w:p w14:paraId="571661EB" w14:textId="001EE4EB" w:rsidR="00111E17" w:rsidRPr="005D550B" w:rsidRDefault="000643C5" w:rsidP="005D550B">
            <w:pPr>
              <w:ind w:left="-118"/>
              <w:jc w:val="left"/>
              <w:rPr>
                <w:rFonts w:ascii="Cambria" w:eastAsia="Cambria" w:hAnsi="Cambria" w:cs="Cambria"/>
              </w:rPr>
            </w:pPr>
            <w:r w:rsidRPr="005D550B">
              <w:rPr>
                <w:rFonts w:ascii="Cambria" w:eastAsia="Cambria" w:hAnsi="Cambria" w:cs="Cambria"/>
              </w:rPr>
              <w:t>Statements concerning project investments and financial backing.</w:t>
            </w:r>
          </w:p>
        </w:tc>
      </w:tr>
      <w:tr w:rsidR="008F3816" w:rsidRPr="005D550B" w14:paraId="1A69450F" w14:textId="77777777" w:rsidTr="00AE2D5B">
        <w:trPr>
          <w:trHeight w:val="20"/>
        </w:trPr>
        <w:tc>
          <w:tcPr>
            <w:tcW w:w="849" w:type="pct"/>
            <w:vMerge w:val="restart"/>
            <w:tcBorders>
              <w:top w:val="nil"/>
              <w:left w:val="single" w:sz="4" w:space="0" w:color="FFFFFF"/>
              <w:right w:val="single" w:sz="4" w:space="0" w:color="FFFFFF"/>
            </w:tcBorders>
          </w:tcPr>
          <w:p w14:paraId="63010222" w14:textId="618AFBBD" w:rsidR="008F3816" w:rsidRPr="005D550B" w:rsidRDefault="008F3816" w:rsidP="00D6424B">
            <w:pPr>
              <w:ind w:left="-118"/>
              <w:jc w:val="left"/>
              <w:rPr>
                <w:rFonts w:ascii="Cambria" w:eastAsia="Cambria" w:hAnsi="Cambria" w:cs="Cambria"/>
              </w:rPr>
            </w:pPr>
            <w:r w:rsidRPr="005D550B">
              <w:rPr>
                <w:rFonts w:ascii="Cambria" w:eastAsia="Cambria" w:hAnsi="Cambria" w:cs="Cambria"/>
              </w:rPr>
              <w:t>Resistance</w:t>
            </w:r>
          </w:p>
        </w:tc>
        <w:tc>
          <w:tcPr>
            <w:tcW w:w="903" w:type="pct"/>
            <w:tcBorders>
              <w:top w:val="single" w:sz="4" w:space="0" w:color="FFFFFF"/>
              <w:left w:val="single" w:sz="4" w:space="0" w:color="FFFFFF"/>
              <w:bottom w:val="single" w:sz="4" w:space="0" w:color="FFFFFF"/>
              <w:right w:val="single" w:sz="4" w:space="0" w:color="FFFFFF"/>
            </w:tcBorders>
          </w:tcPr>
          <w:p w14:paraId="38BBB9AE" w14:textId="3C6A3533" w:rsidR="008F3816" w:rsidRPr="005D550B" w:rsidRDefault="008F3816" w:rsidP="00D6424B">
            <w:pPr>
              <w:ind w:left="-118"/>
              <w:jc w:val="left"/>
              <w:rPr>
                <w:rFonts w:ascii="Cambria" w:eastAsia="Cambria" w:hAnsi="Cambria" w:cs="Cambria"/>
              </w:rPr>
            </w:pPr>
            <w:r w:rsidRPr="005D550B">
              <w:rPr>
                <w:rFonts w:ascii="Cambria" w:eastAsia="Cambria" w:hAnsi="Cambria" w:cs="Cambria"/>
              </w:rPr>
              <w:t>Negative impact</w:t>
            </w:r>
          </w:p>
        </w:tc>
        <w:tc>
          <w:tcPr>
            <w:tcW w:w="622" w:type="pct"/>
            <w:tcBorders>
              <w:top w:val="single" w:sz="4" w:space="0" w:color="FFFFFF"/>
              <w:left w:val="single" w:sz="4" w:space="0" w:color="FFFFFF"/>
              <w:bottom w:val="single" w:sz="4" w:space="0" w:color="FFFFFF"/>
              <w:right w:val="single" w:sz="4" w:space="0" w:color="FFFFFF"/>
            </w:tcBorders>
          </w:tcPr>
          <w:p w14:paraId="14CF0E32" w14:textId="1D1C4816" w:rsidR="008F3816" w:rsidRPr="005D550B" w:rsidRDefault="008F3816" w:rsidP="00D6424B">
            <w:pPr>
              <w:ind w:left="-118"/>
              <w:jc w:val="left"/>
              <w:rPr>
                <w:rFonts w:ascii="Cambria" w:eastAsia="Cambria" w:hAnsi="Cambria" w:cs="Cambria"/>
              </w:rPr>
            </w:pPr>
            <w:r w:rsidRPr="005D550B">
              <w:rPr>
                <w:rFonts w:ascii="Cambria" w:eastAsia="Cambria" w:hAnsi="Cambria" w:cs="Cambria"/>
              </w:rPr>
              <w:t>27</w:t>
            </w:r>
          </w:p>
        </w:tc>
        <w:tc>
          <w:tcPr>
            <w:tcW w:w="2626" w:type="pct"/>
            <w:tcBorders>
              <w:top w:val="single" w:sz="4" w:space="0" w:color="FFFFFF"/>
              <w:left w:val="single" w:sz="4" w:space="0" w:color="FFFFFF"/>
              <w:bottom w:val="single" w:sz="4" w:space="0" w:color="FFFFFF"/>
              <w:right w:val="single" w:sz="4" w:space="0" w:color="FFFFFF"/>
            </w:tcBorders>
          </w:tcPr>
          <w:p w14:paraId="666060AA" w14:textId="6C325A28" w:rsidR="008F3816" w:rsidRPr="005D550B" w:rsidRDefault="008F3816" w:rsidP="005D550B">
            <w:pPr>
              <w:ind w:left="-118"/>
              <w:jc w:val="left"/>
              <w:rPr>
                <w:rFonts w:ascii="Cambria" w:eastAsia="Cambria" w:hAnsi="Cambria" w:cs="Cambria"/>
              </w:rPr>
            </w:pPr>
            <w:r w:rsidRPr="005D550B">
              <w:rPr>
                <w:rFonts w:ascii="Cambria" w:eastAsia="Cambria" w:hAnsi="Cambria" w:cs="Cambria"/>
              </w:rPr>
              <w:t xml:space="preserve">Testimonies </w:t>
            </w:r>
            <w:r w:rsidR="004046AA" w:rsidRPr="005D550B">
              <w:rPr>
                <w:rFonts w:ascii="Cambria" w:eastAsia="Cambria" w:hAnsi="Cambria" w:cs="Cambria"/>
              </w:rPr>
              <w:t>highlight</w:t>
            </w:r>
            <w:r w:rsidRPr="005D550B">
              <w:rPr>
                <w:rFonts w:ascii="Cambria" w:eastAsia="Cambria" w:hAnsi="Cambria" w:cs="Cambria"/>
              </w:rPr>
              <w:t xml:space="preserve"> ecological degradation, the depletion of water springs, and broader negative socio-environmental impacts attributed to the projects.</w:t>
            </w:r>
          </w:p>
        </w:tc>
      </w:tr>
      <w:tr w:rsidR="008F3816" w:rsidRPr="005D550B" w14:paraId="62B5FAD9" w14:textId="77777777" w:rsidTr="00AE2D5B">
        <w:trPr>
          <w:trHeight w:val="20"/>
        </w:trPr>
        <w:tc>
          <w:tcPr>
            <w:tcW w:w="849" w:type="pct"/>
            <w:vMerge/>
            <w:tcBorders>
              <w:left w:val="single" w:sz="4" w:space="0" w:color="FFFFFF"/>
              <w:right w:val="single" w:sz="4" w:space="0" w:color="FFFFFF"/>
            </w:tcBorders>
          </w:tcPr>
          <w:p w14:paraId="538B081F" w14:textId="77777777" w:rsidR="008F3816" w:rsidRPr="005D550B" w:rsidRDefault="008F3816" w:rsidP="00D6424B">
            <w:pPr>
              <w:ind w:left="-118"/>
              <w:jc w:val="left"/>
              <w:rPr>
                <w:rFonts w:ascii="Cambria" w:eastAsia="Cambria" w:hAnsi="Cambria" w:cs="Cambria"/>
              </w:rPr>
            </w:pPr>
          </w:p>
        </w:tc>
        <w:tc>
          <w:tcPr>
            <w:tcW w:w="903" w:type="pct"/>
            <w:tcBorders>
              <w:top w:val="single" w:sz="4" w:space="0" w:color="FFFFFF"/>
              <w:left w:val="single" w:sz="4" w:space="0" w:color="FFFFFF"/>
              <w:bottom w:val="single" w:sz="4" w:space="0" w:color="FFFFFF"/>
              <w:right w:val="single" w:sz="4" w:space="0" w:color="FFFFFF"/>
            </w:tcBorders>
          </w:tcPr>
          <w:p w14:paraId="17C36588" w14:textId="5116677D" w:rsidR="008F3816" w:rsidRPr="005D550B" w:rsidRDefault="008F3816" w:rsidP="00D6424B">
            <w:pPr>
              <w:ind w:left="-118"/>
              <w:jc w:val="left"/>
              <w:rPr>
                <w:rFonts w:ascii="Cambria" w:eastAsia="Cambria" w:hAnsi="Cambria" w:cs="Cambria"/>
              </w:rPr>
            </w:pPr>
            <w:r w:rsidRPr="005D550B">
              <w:rPr>
                <w:rFonts w:ascii="Cambria" w:eastAsia="Cambria" w:hAnsi="Cambria" w:cs="Cambria"/>
              </w:rPr>
              <w:t>Rejection</w:t>
            </w:r>
          </w:p>
        </w:tc>
        <w:tc>
          <w:tcPr>
            <w:tcW w:w="622" w:type="pct"/>
            <w:tcBorders>
              <w:top w:val="single" w:sz="4" w:space="0" w:color="FFFFFF"/>
              <w:left w:val="single" w:sz="4" w:space="0" w:color="FFFFFF"/>
              <w:bottom w:val="single" w:sz="4" w:space="0" w:color="FFFFFF"/>
              <w:right w:val="single" w:sz="4" w:space="0" w:color="FFFFFF"/>
            </w:tcBorders>
          </w:tcPr>
          <w:p w14:paraId="3E1AC4D5" w14:textId="36F2BF05" w:rsidR="008F3816" w:rsidRPr="005D550B" w:rsidRDefault="008F3816" w:rsidP="00D6424B">
            <w:pPr>
              <w:ind w:left="-118"/>
              <w:jc w:val="left"/>
              <w:rPr>
                <w:rFonts w:ascii="Cambria" w:eastAsia="Cambria" w:hAnsi="Cambria" w:cs="Cambria"/>
              </w:rPr>
            </w:pPr>
            <w:r w:rsidRPr="005D550B">
              <w:rPr>
                <w:rFonts w:ascii="Cambria" w:eastAsia="Cambria" w:hAnsi="Cambria" w:cs="Cambria"/>
              </w:rPr>
              <w:t>25</w:t>
            </w:r>
          </w:p>
        </w:tc>
        <w:tc>
          <w:tcPr>
            <w:tcW w:w="2626" w:type="pct"/>
            <w:tcBorders>
              <w:top w:val="single" w:sz="4" w:space="0" w:color="FFFFFF"/>
              <w:left w:val="single" w:sz="4" w:space="0" w:color="FFFFFF"/>
              <w:bottom w:val="single" w:sz="4" w:space="0" w:color="FFFFFF"/>
              <w:right w:val="single" w:sz="4" w:space="0" w:color="FFFFFF"/>
            </w:tcBorders>
          </w:tcPr>
          <w:p w14:paraId="23FE0296" w14:textId="6A0FBE74" w:rsidR="008F3816" w:rsidRPr="005D550B" w:rsidRDefault="008F3816" w:rsidP="00D6424B">
            <w:pPr>
              <w:ind w:left="-118"/>
              <w:jc w:val="left"/>
              <w:rPr>
                <w:rFonts w:ascii="Cambria" w:eastAsia="Cambria" w:hAnsi="Cambria" w:cs="Cambria"/>
              </w:rPr>
            </w:pPr>
            <w:r w:rsidRPr="005D550B">
              <w:rPr>
                <w:rFonts w:ascii="Cambria" w:eastAsia="Cambria" w:hAnsi="Cambria" w:cs="Cambria"/>
              </w:rPr>
              <w:t>Expressions of grassroots resistance or opposition toward geothermal exploration and exploitation activities.</w:t>
            </w:r>
          </w:p>
        </w:tc>
      </w:tr>
      <w:tr w:rsidR="008F3816" w:rsidRPr="005D550B" w14:paraId="57918BEA" w14:textId="77777777" w:rsidTr="00AE2D5B">
        <w:trPr>
          <w:trHeight w:val="20"/>
        </w:trPr>
        <w:tc>
          <w:tcPr>
            <w:tcW w:w="849" w:type="pct"/>
            <w:vMerge/>
            <w:tcBorders>
              <w:left w:val="single" w:sz="4" w:space="0" w:color="FFFFFF"/>
              <w:bottom w:val="nil"/>
              <w:right w:val="single" w:sz="4" w:space="0" w:color="FFFFFF"/>
            </w:tcBorders>
          </w:tcPr>
          <w:p w14:paraId="6BA1A697" w14:textId="77777777" w:rsidR="008F3816" w:rsidRPr="005D550B" w:rsidRDefault="008F3816" w:rsidP="00D6424B">
            <w:pPr>
              <w:ind w:left="-118"/>
              <w:jc w:val="left"/>
              <w:rPr>
                <w:rFonts w:ascii="Cambria" w:eastAsia="Cambria" w:hAnsi="Cambria" w:cs="Cambria"/>
              </w:rPr>
            </w:pPr>
          </w:p>
        </w:tc>
        <w:tc>
          <w:tcPr>
            <w:tcW w:w="903" w:type="pct"/>
            <w:tcBorders>
              <w:top w:val="single" w:sz="4" w:space="0" w:color="FFFFFF"/>
              <w:left w:val="single" w:sz="4" w:space="0" w:color="FFFFFF"/>
              <w:bottom w:val="single" w:sz="4" w:space="0" w:color="FFFFFF"/>
              <w:right w:val="single" w:sz="4" w:space="0" w:color="FFFFFF"/>
            </w:tcBorders>
          </w:tcPr>
          <w:p w14:paraId="3380CCBE" w14:textId="22FA6C17" w:rsidR="008F3816" w:rsidRPr="005D550B" w:rsidRDefault="008F3816" w:rsidP="00D6424B">
            <w:pPr>
              <w:ind w:left="-118"/>
              <w:jc w:val="left"/>
              <w:rPr>
                <w:rFonts w:ascii="Cambria" w:eastAsia="Cambria" w:hAnsi="Cambria" w:cs="Cambria"/>
              </w:rPr>
            </w:pPr>
            <w:r w:rsidRPr="005D550B">
              <w:rPr>
                <w:rFonts w:ascii="Cambria" w:eastAsia="Cambria" w:hAnsi="Cambria" w:cs="Cambria"/>
              </w:rPr>
              <w:t>FPIC Violation</w:t>
            </w:r>
          </w:p>
        </w:tc>
        <w:tc>
          <w:tcPr>
            <w:tcW w:w="622" w:type="pct"/>
            <w:tcBorders>
              <w:top w:val="single" w:sz="4" w:space="0" w:color="FFFFFF"/>
              <w:left w:val="single" w:sz="4" w:space="0" w:color="FFFFFF"/>
              <w:bottom w:val="single" w:sz="4" w:space="0" w:color="FFFFFF"/>
              <w:right w:val="single" w:sz="4" w:space="0" w:color="FFFFFF"/>
            </w:tcBorders>
          </w:tcPr>
          <w:p w14:paraId="6F3B5F6D" w14:textId="466F25AC" w:rsidR="008F3816" w:rsidRPr="005D550B" w:rsidRDefault="008F3816" w:rsidP="00D6424B">
            <w:pPr>
              <w:ind w:left="-118"/>
              <w:jc w:val="left"/>
              <w:rPr>
                <w:rFonts w:ascii="Cambria" w:eastAsia="Cambria" w:hAnsi="Cambria" w:cs="Cambria"/>
              </w:rPr>
            </w:pPr>
            <w:r w:rsidRPr="005D550B">
              <w:rPr>
                <w:rFonts w:ascii="Cambria" w:eastAsia="Cambria" w:hAnsi="Cambria" w:cs="Cambria"/>
              </w:rPr>
              <w:t>18</w:t>
            </w:r>
          </w:p>
        </w:tc>
        <w:tc>
          <w:tcPr>
            <w:tcW w:w="2626" w:type="pct"/>
            <w:tcBorders>
              <w:top w:val="single" w:sz="4" w:space="0" w:color="FFFFFF"/>
              <w:left w:val="single" w:sz="4" w:space="0" w:color="FFFFFF"/>
              <w:bottom w:val="single" w:sz="4" w:space="0" w:color="FFFFFF"/>
              <w:right w:val="single" w:sz="4" w:space="0" w:color="FFFFFF"/>
            </w:tcBorders>
          </w:tcPr>
          <w:p w14:paraId="53C8C099" w14:textId="67001E71" w:rsidR="008F3816" w:rsidRPr="005D550B" w:rsidRDefault="008F3816" w:rsidP="005D550B">
            <w:pPr>
              <w:ind w:left="-118"/>
              <w:jc w:val="left"/>
              <w:rPr>
                <w:rFonts w:ascii="Cambria" w:eastAsia="Cambria" w:hAnsi="Cambria" w:cs="Cambria"/>
              </w:rPr>
            </w:pPr>
            <w:r w:rsidRPr="005D550B">
              <w:rPr>
                <w:rFonts w:ascii="Cambria" w:eastAsia="Cambria" w:hAnsi="Cambria" w:cs="Cambria"/>
              </w:rPr>
              <w:t>Accounts indicating the manipulation of community consent, procedural exclusion, or the violation of FPIC principles.</w:t>
            </w:r>
          </w:p>
        </w:tc>
      </w:tr>
      <w:tr w:rsidR="00CD4F95" w:rsidRPr="005D550B" w14:paraId="3659E248" w14:textId="77777777" w:rsidTr="00AE2D5B">
        <w:trPr>
          <w:trHeight w:val="20"/>
        </w:trPr>
        <w:tc>
          <w:tcPr>
            <w:tcW w:w="849" w:type="pct"/>
            <w:vMerge w:val="restart"/>
            <w:tcBorders>
              <w:top w:val="nil"/>
              <w:left w:val="nil"/>
              <w:bottom w:val="nil"/>
              <w:right w:val="nil"/>
            </w:tcBorders>
          </w:tcPr>
          <w:p w14:paraId="36CF60A0" w14:textId="6271044F" w:rsidR="00CD4F95" w:rsidRPr="005D550B" w:rsidRDefault="00CD4F95" w:rsidP="00D6424B">
            <w:pPr>
              <w:ind w:left="-118"/>
              <w:jc w:val="left"/>
              <w:rPr>
                <w:rFonts w:ascii="Cambria" w:eastAsia="Cambria" w:hAnsi="Cambria" w:cs="Cambria"/>
              </w:rPr>
            </w:pPr>
            <w:r w:rsidRPr="005D550B">
              <w:rPr>
                <w:rFonts w:ascii="Cambria" w:eastAsia="Cambria" w:hAnsi="Cambria" w:cs="Cambria"/>
              </w:rPr>
              <w:t>Conflict dynamics</w:t>
            </w:r>
          </w:p>
        </w:tc>
        <w:tc>
          <w:tcPr>
            <w:tcW w:w="903" w:type="pct"/>
            <w:tcBorders>
              <w:top w:val="single" w:sz="4" w:space="0" w:color="FFFFFF"/>
              <w:left w:val="nil"/>
              <w:bottom w:val="single" w:sz="4" w:space="0" w:color="FFFFFF"/>
              <w:right w:val="single" w:sz="4" w:space="0" w:color="FFFFFF"/>
            </w:tcBorders>
          </w:tcPr>
          <w:p w14:paraId="4CBA9A6A" w14:textId="140704AD" w:rsidR="00CD4F95" w:rsidRPr="005D550B" w:rsidRDefault="00CD4F95" w:rsidP="00D6424B">
            <w:pPr>
              <w:ind w:left="-118"/>
              <w:jc w:val="left"/>
              <w:rPr>
                <w:rFonts w:ascii="Cambria" w:eastAsia="Cambria" w:hAnsi="Cambria" w:cs="Cambria"/>
              </w:rPr>
            </w:pPr>
            <w:r w:rsidRPr="005D550B">
              <w:rPr>
                <w:rFonts w:ascii="Cambria" w:eastAsia="Cambria" w:hAnsi="Cambria" w:cs="Cambria"/>
              </w:rPr>
              <w:t>Suggestion</w:t>
            </w:r>
          </w:p>
        </w:tc>
        <w:tc>
          <w:tcPr>
            <w:tcW w:w="622" w:type="pct"/>
            <w:tcBorders>
              <w:top w:val="single" w:sz="4" w:space="0" w:color="FFFFFF"/>
              <w:left w:val="single" w:sz="4" w:space="0" w:color="FFFFFF"/>
              <w:bottom w:val="single" w:sz="4" w:space="0" w:color="FFFFFF"/>
              <w:right w:val="single" w:sz="4" w:space="0" w:color="FFFFFF"/>
            </w:tcBorders>
          </w:tcPr>
          <w:p w14:paraId="2DC2A881" w14:textId="19C749C3" w:rsidR="00CD4F95" w:rsidRPr="005D550B" w:rsidRDefault="00CD4F95" w:rsidP="00D6424B">
            <w:pPr>
              <w:ind w:left="-118"/>
              <w:jc w:val="left"/>
              <w:rPr>
                <w:rFonts w:ascii="Cambria" w:eastAsia="Cambria" w:hAnsi="Cambria" w:cs="Cambria"/>
              </w:rPr>
            </w:pPr>
            <w:r w:rsidRPr="005D550B">
              <w:rPr>
                <w:rFonts w:ascii="Cambria" w:eastAsia="Cambria" w:hAnsi="Cambria" w:cs="Cambria"/>
              </w:rPr>
              <w:t>21</w:t>
            </w:r>
          </w:p>
        </w:tc>
        <w:tc>
          <w:tcPr>
            <w:tcW w:w="2626" w:type="pct"/>
            <w:tcBorders>
              <w:top w:val="single" w:sz="4" w:space="0" w:color="FFFFFF"/>
              <w:left w:val="single" w:sz="4" w:space="0" w:color="FFFFFF"/>
              <w:bottom w:val="single" w:sz="4" w:space="0" w:color="FFFFFF"/>
              <w:right w:val="single" w:sz="4" w:space="0" w:color="FFFFFF"/>
            </w:tcBorders>
          </w:tcPr>
          <w:p w14:paraId="1FC72818" w14:textId="6D6296B8" w:rsidR="00CD4F95" w:rsidRPr="005D550B" w:rsidRDefault="00CD4F95" w:rsidP="005D550B">
            <w:pPr>
              <w:ind w:left="-118"/>
              <w:jc w:val="left"/>
              <w:rPr>
                <w:rFonts w:ascii="Cambria" w:eastAsia="Cambria" w:hAnsi="Cambria" w:cs="Cambria"/>
              </w:rPr>
            </w:pPr>
            <w:r w:rsidRPr="005D550B">
              <w:rPr>
                <w:rFonts w:ascii="Cambria" w:eastAsia="Cambria" w:hAnsi="Cambria" w:cs="Cambria"/>
              </w:rPr>
              <w:t>Normative statements or appeals (from experts, religious institutions, or government actors) aimed at de-escalating social tensions.</w:t>
            </w:r>
          </w:p>
        </w:tc>
      </w:tr>
      <w:tr w:rsidR="00CD4F95" w:rsidRPr="005D550B" w14:paraId="7CA54DB7" w14:textId="77777777" w:rsidTr="00AE2D5B">
        <w:trPr>
          <w:trHeight w:val="20"/>
        </w:trPr>
        <w:tc>
          <w:tcPr>
            <w:tcW w:w="849" w:type="pct"/>
            <w:vMerge/>
            <w:tcBorders>
              <w:top w:val="nil"/>
              <w:left w:val="nil"/>
              <w:bottom w:val="nil"/>
              <w:right w:val="nil"/>
            </w:tcBorders>
          </w:tcPr>
          <w:p w14:paraId="378522E7" w14:textId="77777777" w:rsidR="00CD4F95" w:rsidRPr="005D550B" w:rsidRDefault="00CD4F95" w:rsidP="00D6424B">
            <w:pPr>
              <w:ind w:left="-118"/>
              <w:jc w:val="left"/>
              <w:rPr>
                <w:rFonts w:ascii="Cambria" w:eastAsia="Cambria" w:hAnsi="Cambria" w:cs="Cambria"/>
              </w:rPr>
            </w:pPr>
          </w:p>
        </w:tc>
        <w:tc>
          <w:tcPr>
            <w:tcW w:w="903" w:type="pct"/>
            <w:tcBorders>
              <w:top w:val="single" w:sz="4" w:space="0" w:color="FFFFFF"/>
              <w:left w:val="nil"/>
              <w:bottom w:val="single" w:sz="4" w:space="0" w:color="FFFFFF"/>
              <w:right w:val="single" w:sz="4" w:space="0" w:color="FFFFFF"/>
            </w:tcBorders>
          </w:tcPr>
          <w:p w14:paraId="0998D535" w14:textId="0BE6360D" w:rsidR="00CD4F95" w:rsidRPr="005D550B" w:rsidRDefault="00CD4F95" w:rsidP="00D6424B">
            <w:pPr>
              <w:ind w:left="-118"/>
              <w:jc w:val="left"/>
              <w:rPr>
                <w:rFonts w:ascii="Cambria" w:eastAsia="Cambria" w:hAnsi="Cambria" w:cs="Cambria"/>
              </w:rPr>
            </w:pPr>
            <w:r w:rsidRPr="005D550B">
              <w:rPr>
                <w:rFonts w:ascii="Cambria" w:eastAsia="Cambria" w:hAnsi="Cambria" w:cs="Cambria"/>
              </w:rPr>
              <w:t>Repression</w:t>
            </w:r>
          </w:p>
        </w:tc>
        <w:tc>
          <w:tcPr>
            <w:tcW w:w="622" w:type="pct"/>
            <w:tcBorders>
              <w:top w:val="single" w:sz="4" w:space="0" w:color="FFFFFF"/>
              <w:left w:val="single" w:sz="4" w:space="0" w:color="FFFFFF"/>
              <w:bottom w:val="single" w:sz="4" w:space="0" w:color="FFFFFF"/>
              <w:right w:val="single" w:sz="4" w:space="0" w:color="FFFFFF"/>
            </w:tcBorders>
          </w:tcPr>
          <w:p w14:paraId="47380B33" w14:textId="19B45A4E" w:rsidR="00CD4F95" w:rsidRPr="005D550B" w:rsidRDefault="00CD4F95" w:rsidP="00D6424B">
            <w:pPr>
              <w:ind w:left="-118"/>
              <w:jc w:val="left"/>
              <w:rPr>
                <w:rFonts w:ascii="Cambria" w:eastAsia="Cambria" w:hAnsi="Cambria" w:cs="Cambria"/>
              </w:rPr>
            </w:pPr>
            <w:r w:rsidRPr="005D550B">
              <w:rPr>
                <w:rFonts w:ascii="Cambria" w:eastAsia="Cambria" w:hAnsi="Cambria" w:cs="Cambria"/>
              </w:rPr>
              <w:t>9</w:t>
            </w:r>
          </w:p>
        </w:tc>
        <w:tc>
          <w:tcPr>
            <w:tcW w:w="2626" w:type="pct"/>
            <w:tcBorders>
              <w:top w:val="single" w:sz="4" w:space="0" w:color="FFFFFF"/>
              <w:left w:val="single" w:sz="4" w:space="0" w:color="FFFFFF"/>
              <w:bottom w:val="single" w:sz="4" w:space="0" w:color="FFFFFF"/>
              <w:right w:val="single" w:sz="4" w:space="0" w:color="FFFFFF"/>
            </w:tcBorders>
          </w:tcPr>
          <w:p w14:paraId="4C127F2A" w14:textId="1E72DD69" w:rsidR="00CD4F95" w:rsidRPr="005D550B" w:rsidRDefault="00CD4F95" w:rsidP="00D6424B">
            <w:pPr>
              <w:ind w:left="-118"/>
              <w:jc w:val="left"/>
              <w:rPr>
                <w:rFonts w:ascii="Cambria" w:eastAsia="Cambria" w:hAnsi="Cambria" w:cs="Cambria"/>
              </w:rPr>
            </w:pPr>
            <w:r w:rsidRPr="005D550B">
              <w:rPr>
                <w:rFonts w:ascii="Cambria" w:eastAsia="Cambria" w:hAnsi="Cambria" w:cs="Cambria"/>
              </w:rPr>
              <w:t>The mobilization of state security apparatus, intimidation tactics, and the criminalization of resistance.</w:t>
            </w:r>
          </w:p>
        </w:tc>
      </w:tr>
      <w:tr w:rsidR="00CD4F95" w:rsidRPr="005D550B" w14:paraId="6EDF840B" w14:textId="77777777" w:rsidTr="00AE2D5B">
        <w:trPr>
          <w:trHeight w:val="20"/>
        </w:trPr>
        <w:tc>
          <w:tcPr>
            <w:tcW w:w="849" w:type="pct"/>
            <w:vMerge/>
            <w:tcBorders>
              <w:top w:val="nil"/>
              <w:left w:val="nil"/>
              <w:bottom w:val="nil"/>
              <w:right w:val="nil"/>
            </w:tcBorders>
          </w:tcPr>
          <w:p w14:paraId="5517D0FA" w14:textId="77777777" w:rsidR="00CD4F95" w:rsidRPr="005D550B" w:rsidRDefault="00CD4F95" w:rsidP="00D6424B">
            <w:pPr>
              <w:ind w:left="-118"/>
              <w:jc w:val="left"/>
              <w:rPr>
                <w:rFonts w:ascii="Cambria" w:eastAsia="Cambria" w:hAnsi="Cambria" w:cs="Cambria"/>
              </w:rPr>
            </w:pPr>
          </w:p>
        </w:tc>
        <w:tc>
          <w:tcPr>
            <w:tcW w:w="903" w:type="pct"/>
            <w:tcBorders>
              <w:top w:val="single" w:sz="4" w:space="0" w:color="FFFFFF"/>
              <w:left w:val="nil"/>
              <w:bottom w:val="single" w:sz="4" w:space="0" w:color="FFFFFF"/>
              <w:right w:val="single" w:sz="4" w:space="0" w:color="FFFFFF"/>
            </w:tcBorders>
          </w:tcPr>
          <w:p w14:paraId="0DB8D9B2" w14:textId="61BB342A" w:rsidR="00CD4F95" w:rsidRPr="005D550B" w:rsidRDefault="00CD4F95" w:rsidP="00D6424B">
            <w:pPr>
              <w:ind w:left="-118"/>
              <w:jc w:val="left"/>
              <w:rPr>
                <w:rFonts w:ascii="Cambria" w:eastAsia="Cambria" w:hAnsi="Cambria" w:cs="Cambria"/>
              </w:rPr>
            </w:pPr>
            <w:r w:rsidRPr="005D550B">
              <w:rPr>
                <w:rFonts w:ascii="Cambria" w:eastAsia="Cambria" w:hAnsi="Cambria" w:cs="Cambria"/>
              </w:rPr>
              <w:t>Denial</w:t>
            </w:r>
          </w:p>
        </w:tc>
        <w:tc>
          <w:tcPr>
            <w:tcW w:w="622" w:type="pct"/>
            <w:tcBorders>
              <w:top w:val="single" w:sz="4" w:space="0" w:color="FFFFFF"/>
              <w:left w:val="single" w:sz="4" w:space="0" w:color="FFFFFF"/>
              <w:bottom w:val="single" w:sz="4" w:space="0" w:color="FFFFFF"/>
              <w:right w:val="single" w:sz="4" w:space="0" w:color="FFFFFF"/>
            </w:tcBorders>
          </w:tcPr>
          <w:p w14:paraId="07843119" w14:textId="65CD1622" w:rsidR="00CD4F95" w:rsidRPr="005D550B" w:rsidRDefault="00CD4F95" w:rsidP="00D6424B">
            <w:pPr>
              <w:ind w:left="-118"/>
              <w:jc w:val="left"/>
              <w:rPr>
                <w:rFonts w:ascii="Cambria" w:eastAsia="Cambria" w:hAnsi="Cambria" w:cs="Cambria"/>
              </w:rPr>
            </w:pPr>
            <w:r w:rsidRPr="005D550B">
              <w:rPr>
                <w:rFonts w:ascii="Cambria" w:eastAsia="Cambria" w:hAnsi="Cambria" w:cs="Cambria"/>
              </w:rPr>
              <w:t>8</w:t>
            </w:r>
          </w:p>
        </w:tc>
        <w:tc>
          <w:tcPr>
            <w:tcW w:w="2626" w:type="pct"/>
            <w:tcBorders>
              <w:top w:val="single" w:sz="4" w:space="0" w:color="FFFFFF"/>
              <w:left w:val="single" w:sz="4" w:space="0" w:color="FFFFFF"/>
              <w:bottom w:val="single" w:sz="4" w:space="0" w:color="FFFFFF"/>
              <w:right w:val="single" w:sz="4" w:space="0" w:color="FFFFFF"/>
            </w:tcBorders>
          </w:tcPr>
          <w:p w14:paraId="755C3EBB" w14:textId="1E6F1BFD" w:rsidR="00CD4F95" w:rsidRPr="005D550B" w:rsidRDefault="00CD4F95" w:rsidP="00D6424B">
            <w:pPr>
              <w:ind w:left="-118"/>
              <w:jc w:val="left"/>
              <w:rPr>
                <w:rFonts w:ascii="Cambria" w:eastAsia="Cambria" w:hAnsi="Cambria" w:cs="Cambria"/>
              </w:rPr>
            </w:pPr>
            <w:r w:rsidRPr="005D550B">
              <w:rPr>
                <w:rFonts w:ascii="Cambria" w:eastAsia="Cambria" w:hAnsi="Cambria" w:cs="Cambria"/>
              </w:rPr>
              <w:t>Counter-narratives or statements refuting the claims of opposing parties.</w:t>
            </w:r>
          </w:p>
        </w:tc>
      </w:tr>
      <w:tr w:rsidR="00CD4F95" w:rsidRPr="005D550B" w14:paraId="4ECD5315" w14:textId="77777777" w:rsidTr="00AE2D5B">
        <w:trPr>
          <w:trHeight w:val="20"/>
        </w:trPr>
        <w:tc>
          <w:tcPr>
            <w:tcW w:w="849" w:type="pct"/>
            <w:vMerge/>
            <w:tcBorders>
              <w:top w:val="nil"/>
              <w:left w:val="nil"/>
              <w:bottom w:val="nil"/>
              <w:right w:val="nil"/>
            </w:tcBorders>
          </w:tcPr>
          <w:p w14:paraId="0FD97A6F" w14:textId="77777777" w:rsidR="00CD4F95" w:rsidRPr="005D550B" w:rsidRDefault="00CD4F95" w:rsidP="00D6424B">
            <w:pPr>
              <w:ind w:left="-118"/>
              <w:jc w:val="left"/>
              <w:rPr>
                <w:rFonts w:ascii="Cambria" w:eastAsia="Cambria" w:hAnsi="Cambria" w:cs="Cambria"/>
              </w:rPr>
            </w:pPr>
          </w:p>
        </w:tc>
        <w:tc>
          <w:tcPr>
            <w:tcW w:w="903" w:type="pct"/>
            <w:tcBorders>
              <w:top w:val="single" w:sz="4" w:space="0" w:color="FFFFFF"/>
              <w:left w:val="nil"/>
              <w:bottom w:val="single" w:sz="4" w:space="0" w:color="FFFFFF"/>
              <w:right w:val="single" w:sz="4" w:space="0" w:color="FFFFFF"/>
            </w:tcBorders>
          </w:tcPr>
          <w:p w14:paraId="253A9F1C" w14:textId="676C1843" w:rsidR="00CD4F95" w:rsidRPr="005D550B" w:rsidRDefault="00CD4F95" w:rsidP="00D6424B">
            <w:pPr>
              <w:ind w:left="-118"/>
              <w:jc w:val="left"/>
              <w:rPr>
                <w:rFonts w:ascii="Cambria" w:eastAsia="Cambria" w:hAnsi="Cambria" w:cs="Cambria"/>
              </w:rPr>
            </w:pPr>
            <w:r w:rsidRPr="005D550B">
              <w:rPr>
                <w:rFonts w:ascii="Cambria" w:eastAsia="Cambria" w:hAnsi="Cambria" w:cs="Cambria"/>
              </w:rPr>
              <w:t>Failure</w:t>
            </w:r>
          </w:p>
        </w:tc>
        <w:tc>
          <w:tcPr>
            <w:tcW w:w="622" w:type="pct"/>
            <w:tcBorders>
              <w:top w:val="single" w:sz="4" w:space="0" w:color="FFFFFF"/>
              <w:left w:val="single" w:sz="4" w:space="0" w:color="FFFFFF"/>
              <w:bottom w:val="single" w:sz="4" w:space="0" w:color="FFFFFF"/>
              <w:right w:val="single" w:sz="4" w:space="0" w:color="FFFFFF"/>
            </w:tcBorders>
          </w:tcPr>
          <w:p w14:paraId="54F6C425" w14:textId="38EBC0BF" w:rsidR="00CD4F95" w:rsidRPr="005D550B" w:rsidRDefault="00CD4F95" w:rsidP="00D6424B">
            <w:pPr>
              <w:ind w:left="-118"/>
              <w:jc w:val="left"/>
              <w:rPr>
                <w:rFonts w:ascii="Cambria" w:eastAsia="Cambria" w:hAnsi="Cambria" w:cs="Cambria"/>
              </w:rPr>
            </w:pPr>
            <w:r w:rsidRPr="005D550B">
              <w:rPr>
                <w:rFonts w:ascii="Cambria" w:eastAsia="Cambria" w:hAnsi="Cambria" w:cs="Cambria"/>
              </w:rPr>
              <w:t>7</w:t>
            </w:r>
          </w:p>
        </w:tc>
        <w:tc>
          <w:tcPr>
            <w:tcW w:w="2626" w:type="pct"/>
            <w:tcBorders>
              <w:top w:val="single" w:sz="4" w:space="0" w:color="FFFFFF"/>
              <w:left w:val="single" w:sz="4" w:space="0" w:color="FFFFFF"/>
              <w:bottom w:val="single" w:sz="4" w:space="0" w:color="FFFFFF"/>
              <w:right w:val="single" w:sz="4" w:space="0" w:color="FFFFFF"/>
            </w:tcBorders>
          </w:tcPr>
          <w:p w14:paraId="19CFAA84" w14:textId="2C4A3BD7" w:rsidR="00CD4F95" w:rsidRPr="005D550B" w:rsidRDefault="00CD4F95" w:rsidP="00D6424B">
            <w:pPr>
              <w:ind w:left="-118"/>
              <w:jc w:val="left"/>
              <w:rPr>
                <w:rFonts w:ascii="Cambria" w:eastAsia="Cambria" w:hAnsi="Cambria" w:cs="Cambria"/>
              </w:rPr>
            </w:pPr>
            <w:r w:rsidRPr="005D550B">
              <w:rPr>
                <w:rFonts w:ascii="Cambria" w:eastAsia="Cambria" w:hAnsi="Cambria" w:cs="Cambria"/>
              </w:rPr>
              <w:t>Shortfalls or failures in achieving projected developmental targets and plans.</w:t>
            </w:r>
          </w:p>
        </w:tc>
      </w:tr>
      <w:tr w:rsidR="00CD770C" w:rsidRPr="005D550B" w14:paraId="4539CA6F" w14:textId="77777777" w:rsidTr="00AE2D5B">
        <w:trPr>
          <w:trHeight w:val="20"/>
        </w:trPr>
        <w:tc>
          <w:tcPr>
            <w:tcW w:w="849" w:type="pct"/>
            <w:tcBorders>
              <w:top w:val="nil"/>
              <w:left w:val="single" w:sz="4" w:space="0" w:color="FFFFFF"/>
              <w:bottom w:val="single" w:sz="4" w:space="0" w:color="000000"/>
              <w:right w:val="single" w:sz="4" w:space="0" w:color="FFFFFF"/>
            </w:tcBorders>
          </w:tcPr>
          <w:p w14:paraId="2BCBB9EA" w14:textId="7233CD02" w:rsidR="00CD770C" w:rsidRPr="005D550B" w:rsidRDefault="00CD4F95" w:rsidP="00D6424B">
            <w:pPr>
              <w:ind w:left="-118"/>
              <w:jc w:val="left"/>
              <w:rPr>
                <w:rFonts w:ascii="Cambria" w:eastAsia="Cambria" w:hAnsi="Cambria" w:cs="Cambria"/>
              </w:rPr>
            </w:pPr>
            <w:r w:rsidRPr="005D550B">
              <w:rPr>
                <w:rFonts w:ascii="Cambria" w:eastAsia="Cambria" w:hAnsi="Cambria" w:cs="Cambria"/>
              </w:rPr>
              <w:t>Uncategorized</w:t>
            </w:r>
          </w:p>
        </w:tc>
        <w:tc>
          <w:tcPr>
            <w:tcW w:w="903" w:type="pct"/>
            <w:tcBorders>
              <w:top w:val="single" w:sz="4" w:space="0" w:color="FFFFFF"/>
              <w:left w:val="single" w:sz="4" w:space="0" w:color="FFFFFF"/>
              <w:bottom w:val="single" w:sz="4" w:space="0" w:color="000000"/>
              <w:right w:val="single" w:sz="4" w:space="0" w:color="FFFFFF"/>
            </w:tcBorders>
          </w:tcPr>
          <w:p w14:paraId="41A7FF2E" w14:textId="77777777" w:rsidR="00CD770C" w:rsidRPr="005D550B" w:rsidRDefault="00CD770C" w:rsidP="00D6424B">
            <w:pPr>
              <w:ind w:left="-118"/>
              <w:jc w:val="left"/>
              <w:rPr>
                <w:rFonts w:ascii="Cambria" w:eastAsia="Cambria" w:hAnsi="Cambria" w:cs="Cambria"/>
              </w:rPr>
            </w:pPr>
          </w:p>
        </w:tc>
        <w:tc>
          <w:tcPr>
            <w:tcW w:w="622" w:type="pct"/>
            <w:tcBorders>
              <w:top w:val="single" w:sz="4" w:space="0" w:color="FFFFFF"/>
              <w:left w:val="single" w:sz="4" w:space="0" w:color="FFFFFF"/>
              <w:bottom w:val="single" w:sz="4" w:space="0" w:color="000000"/>
              <w:right w:val="single" w:sz="4" w:space="0" w:color="FFFFFF"/>
            </w:tcBorders>
          </w:tcPr>
          <w:p w14:paraId="64F551E3" w14:textId="484CC39B" w:rsidR="00CD770C" w:rsidRPr="005D550B" w:rsidRDefault="00CD4F95" w:rsidP="00D6424B">
            <w:pPr>
              <w:ind w:left="-118"/>
              <w:jc w:val="left"/>
              <w:rPr>
                <w:rFonts w:ascii="Cambria" w:eastAsia="Cambria" w:hAnsi="Cambria" w:cs="Cambria"/>
              </w:rPr>
            </w:pPr>
            <w:r w:rsidRPr="005D550B">
              <w:rPr>
                <w:rFonts w:ascii="Cambria" w:eastAsia="Cambria" w:hAnsi="Cambria" w:cs="Cambria"/>
              </w:rPr>
              <w:t>4</w:t>
            </w:r>
          </w:p>
        </w:tc>
        <w:tc>
          <w:tcPr>
            <w:tcW w:w="2626" w:type="pct"/>
            <w:tcBorders>
              <w:top w:val="single" w:sz="4" w:space="0" w:color="FFFFFF"/>
              <w:left w:val="single" w:sz="4" w:space="0" w:color="FFFFFF"/>
              <w:bottom w:val="single" w:sz="4" w:space="0" w:color="000000"/>
              <w:right w:val="single" w:sz="4" w:space="0" w:color="FFFFFF"/>
            </w:tcBorders>
          </w:tcPr>
          <w:p w14:paraId="32536AED" w14:textId="77777777" w:rsidR="00CD770C" w:rsidRPr="005D550B" w:rsidRDefault="00CD770C" w:rsidP="00D6424B">
            <w:pPr>
              <w:ind w:left="-118"/>
              <w:jc w:val="left"/>
              <w:rPr>
                <w:rFonts w:ascii="Cambria" w:eastAsia="Cambria" w:hAnsi="Cambria" w:cs="Cambria"/>
              </w:rPr>
            </w:pPr>
          </w:p>
        </w:tc>
      </w:tr>
    </w:tbl>
    <w:p w14:paraId="0CC50281" w14:textId="4A16FD03" w:rsidR="00753C71" w:rsidRPr="005D550B" w:rsidRDefault="00753C71" w:rsidP="00753C71">
      <w:pPr>
        <w:jc w:val="center"/>
        <w:rPr>
          <w:rFonts w:ascii="Cambria" w:eastAsia="Cambria" w:hAnsi="Cambria" w:cs="Cambria"/>
          <w:color w:val="000000"/>
        </w:rPr>
      </w:pPr>
    </w:p>
    <w:p w14:paraId="16EDBE6B" w14:textId="0A076E46" w:rsidR="00753C71" w:rsidRDefault="00237D94">
      <w:pPr>
        <w:pBdr>
          <w:top w:val="nil"/>
          <w:left w:val="nil"/>
          <w:bottom w:val="nil"/>
          <w:right w:val="nil"/>
          <w:between w:val="nil"/>
        </w:pBdr>
        <w:ind w:firstLine="426"/>
        <w:rPr>
          <w:rFonts w:ascii="Cambria" w:eastAsia="Cambria" w:hAnsi="Cambria" w:cs="Cambria"/>
          <w:sz w:val="22"/>
          <w:szCs w:val="22"/>
        </w:rPr>
      </w:pPr>
      <w:proofErr w:type="spellStart"/>
      <w:r w:rsidRPr="005D550B">
        <w:rPr>
          <w:rFonts w:ascii="Cambria" w:eastAsia="Cambria" w:hAnsi="Cambria" w:cs="Cambria"/>
          <w:sz w:val="22"/>
          <w:szCs w:val="22"/>
        </w:rPr>
        <w:t>Analysing</w:t>
      </w:r>
      <w:proofErr w:type="spellEnd"/>
      <w:r w:rsidRPr="005D550B">
        <w:rPr>
          <w:rFonts w:ascii="Cambria" w:eastAsia="Cambria" w:hAnsi="Cambria" w:cs="Cambria"/>
          <w:sz w:val="22"/>
          <w:szCs w:val="22"/>
        </w:rPr>
        <w:t xml:space="preserve"> appearing actors reveals a significant disparity in the distribution of representation. </w:t>
      </w:r>
      <w:r w:rsidR="00CF14A6">
        <w:rPr>
          <w:rFonts w:ascii="Cambria" w:eastAsia="Cambria" w:hAnsi="Cambria" w:cs="Cambria"/>
          <w:sz w:val="22"/>
          <w:szCs w:val="22"/>
        </w:rPr>
        <w:t>Society</w:t>
      </w:r>
      <w:r w:rsidRPr="005D550B">
        <w:rPr>
          <w:rFonts w:ascii="Cambria" w:eastAsia="Cambria" w:hAnsi="Cambria" w:cs="Cambria"/>
          <w:sz w:val="22"/>
          <w:szCs w:val="22"/>
        </w:rPr>
        <w:t xml:space="preserve"> actor category recorded a high frequency of appearances (29 quotes), yet this voice is decentralized and organic. The quotes are dispersed among numerous individuals at the grassroots level without a single dominant figure. A customary leader of Poco Leok (head of the Poco Leok indigenous community) stands as the most frequently cited community representative, with only 2 appearances. Conversely, quotes from </w:t>
      </w:r>
      <w:r w:rsidR="00D6424B" w:rsidRPr="005D550B">
        <w:rPr>
          <w:rFonts w:ascii="Cambria" w:eastAsia="Cambria" w:hAnsi="Cambria" w:cs="Cambria"/>
          <w:sz w:val="22"/>
          <w:szCs w:val="22"/>
        </w:rPr>
        <w:t>government</w:t>
      </w:r>
      <w:r w:rsidRPr="005D550B">
        <w:rPr>
          <w:rFonts w:ascii="Cambria" w:eastAsia="Cambria" w:hAnsi="Cambria" w:cs="Cambria"/>
          <w:sz w:val="22"/>
          <w:szCs w:val="22"/>
        </w:rPr>
        <w:t xml:space="preserve"> actor category demonstrate a highly centralized nature. 70% (14 out of 20) of the government's voice is concentrated on just four elite figures: the Governor of NTT, the </w:t>
      </w:r>
      <w:r w:rsidR="00E60756" w:rsidRPr="00E60756">
        <w:rPr>
          <w:rFonts w:ascii="Cambria" w:eastAsia="Cambria" w:hAnsi="Cambria" w:cs="Cambria"/>
          <w:sz w:val="22"/>
          <w:szCs w:val="22"/>
        </w:rPr>
        <w:t>Directorate General of New, Renewable, and Energy Conservation</w:t>
      </w:r>
      <w:r w:rsidR="007366A9">
        <w:rPr>
          <w:rFonts w:ascii="Cambria" w:eastAsia="Cambria" w:hAnsi="Cambria" w:cs="Cambria"/>
          <w:sz w:val="22"/>
          <w:szCs w:val="22"/>
        </w:rPr>
        <w:t>/</w:t>
      </w:r>
      <w:proofErr w:type="spellStart"/>
      <w:r w:rsidR="007366A9" w:rsidRPr="007366A9">
        <w:rPr>
          <w:rFonts w:ascii="Cambria" w:eastAsia="Cambria" w:hAnsi="Cambria" w:cs="Cambria"/>
          <w:i/>
          <w:iCs/>
          <w:sz w:val="22"/>
          <w:szCs w:val="22"/>
        </w:rPr>
        <w:t>Direktorat</w:t>
      </w:r>
      <w:proofErr w:type="spellEnd"/>
      <w:r w:rsidR="007366A9" w:rsidRPr="007366A9">
        <w:rPr>
          <w:rFonts w:ascii="Cambria" w:eastAsia="Cambria" w:hAnsi="Cambria" w:cs="Cambria"/>
          <w:i/>
          <w:iCs/>
          <w:sz w:val="22"/>
          <w:szCs w:val="22"/>
        </w:rPr>
        <w:t xml:space="preserve"> </w:t>
      </w:r>
      <w:proofErr w:type="spellStart"/>
      <w:r w:rsidR="007366A9" w:rsidRPr="007366A9">
        <w:rPr>
          <w:rFonts w:ascii="Cambria" w:eastAsia="Cambria" w:hAnsi="Cambria" w:cs="Cambria"/>
          <w:i/>
          <w:iCs/>
          <w:sz w:val="22"/>
          <w:szCs w:val="22"/>
        </w:rPr>
        <w:t>Jenderal</w:t>
      </w:r>
      <w:proofErr w:type="spellEnd"/>
      <w:r w:rsidR="007366A9" w:rsidRPr="007366A9">
        <w:rPr>
          <w:rFonts w:ascii="Cambria" w:eastAsia="Cambria" w:hAnsi="Cambria" w:cs="Cambria"/>
          <w:i/>
          <w:iCs/>
          <w:sz w:val="22"/>
          <w:szCs w:val="22"/>
        </w:rPr>
        <w:t xml:space="preserve"> </w:t>
      </w:r>
      <w:proofErr w:type="spellStart"/>
      <w:r w:rsidR="007366A9" w:rsidRPr="007366A9">
        <w:rPr>
          <w:rFonts w:ascii="Cambria" w:eastAsia="Cambria" w:hAnsi="Cambria" w:cs="Cambria"/>
          <w:i/>
          <w:iCs/>
          <w:sz w:val="22"/>
          <w:szCs w:val="22"/>
        </w:rPr>
        <w:t>Energi</w:t>
      </w:r>
      <w:proofErr w:type="spellEnd"/>
      <w:r w:rsidR="007366A9" w:rsidRPr="007366A9">
        <w:rPr>
          <w:rFonts w:ascii="Cambria" w:eastAsia="Cambria" w:hAnsi="Cambria" w:cs="Cambria"/>
          <w:i/>
          <w:iCs/>
          <w:sz w:val="22"/>
          <w:szCs w:val="22"/>
        </w:rPr>
        <w:t xml:space="preserve"> Baru, </w:t>
      </w:r>
      <w:proofErr w:type="spellStart"/>
      <w:r w:rsidR="007366A9" w:rsidRPr="007366A9">
        <w:rPr>
          <w:rFonts w:ascii="Cambria" w:eastAsia="Cambria" w:hAnsi="Cambria" w:cs="Cambria"/>
          <w:i/>
          <w:iCs/>
          <w:sz w:val="22"/>
          <w:szCs w:val="22"/>
        </w:rPr>
        <w:t>Terbarukan</w:t>
      </w:r>
      <w:proofErr w:type="spellEnd"/>
      <w:r w:rsidR="007366A9" w:rsidRPr="007366A9">
        <w:rPr>
          <w:rFonts w:ascii="Cambria" w:eastAsia="Cambria" w:hAnsi="Cambria" w:cs="Cambria"/>
          <w:i/>
          <w:iCs/>
          <w:sz w:val="22"/>
          <w:szCs w:val="22"/>
        </w:rPr>
        <w:t xml:space="preserve">, dan </w:t>
      </w:r>
      <w:proofErr w:type="spellStart"/>
      <w:r w:rsidR="007366A9" w:rsidRPr="007366A9">
        <w:rPr>
          <w:rFonts w:ascii="Cambria" w:eastAsia="Cambria" w:hAnsi="Cambria" w:cs="Cambria"/>
          <w:i/>
          <w:iCs/>
          <w:sz w:val="22"/>
          <w:szCs w:val="22"/>
        </w:rPr>
        <w:t>Konservasi</w:t>
      </w:r>
      <w:proofErr w:type="spellEnd"/>
      <w:r w:rsidR="007366A9" w:rsidRPr="007366A9">
        <w:rPr>
          <w:rFonts w:ascii="Cambria" w:eastAsia="Cambria" w:hAnsi="Cambria" w:cs="Cambria"/>
          <w:i/>
          <w:iCs/>
          <w:sz w:val="22"/>
          <w:szCs w:val="22"/>
        </w:rPr>
        <w:t xml:space="preserve"> </w:t>
      </w:r>
      <w:proofErr w:type="spellStart"/>
      <w:r w:rsidR="007366A9" w:rsidRPr="007366A9">
        <w:rPr>
          <w:rFonts w:ascii="Cambria" w:eastAsia="Cambria" w:hAnsi="Cambria" w:cs="Cambria"/>
          <w:i/>
          <w:iCs/>
          <w:sz w:val="22"/>
          <w:szCs w:val="22"/>
        </w:rPr>
        <w:t>Energi</w:t>
      </w:r>
      <w:proofErr w:type="spellEnd"/>
      <w:r w:rsidR="007366A9">
        <w:rPr>
          <w:rFonts w:ascii="Cambria" w:eastAsia="Cambria" w:hAnsi="Cambria" w:cs="Cambria"/>
          <w:i/>
          <w:iCs/>
          <w:sz w:val="22"/>
          <w:szCs w:val="22"/>
        </w:rPr>
        <w:t xml:space="preserve"> </w:t>
      </w:r>
      <w:r w:rsidR="007366A9">
        <w:rPr>
          <w:rFonts w:ascii="Cambria" w:eastAsia="Cambria" w:hAnsi="Cambria" w:cs="Cambria"/>
          <w:sz w:val="22"/>
          <w:szCs w:val="22"/>
        </w:rPr>
        <w:t>(</w:t>
      </w:r>
      <w:r w:rsidR="007366A9" w:rsidRPr="007366A9">
        <w:rPr>
          <w:rFonts w:ascii="Cambria" w:eastAsia="Cambria" w:hAnsi="Cambria" w:cs="Cambria"/>
          <w:sz w:val="22"/>
          <w:szCs w:val="22"/>
        </w:rPr>
        <w:t>EBTKE</w:t>
      </w:r>
      <w:r w:rsidR="007366A9">
        <w:rPr>
          <w:rFonts w:ascii="Cambria" w:eastAsia="Cambria" w:hAnsi="Cambria" w:cs="Cambria"/>
          <w:sz w:val="22"/>
          <w:szCs w:val="22"/>
        </w:rPr>
        <w:t>)</w:t>
      </w:r>
      <w:r w:rsidRPr="005D550B">
        <w:rPr>
          <w:rFonts w:ascii="Cambria" w:eastAsia="Cambria" w:hAnsi="Cambria" w:cs="Cambria"/>
          <w:sz w:val="22"/>
          <w:szCs w:val="22"/>
        </w:rPr>
        <w:t xml:space="preserve">, the Director of Geothermal from the ESDM Ministry, and a senior PLN official, each appearing in 4 different news reports, followed by a second PLN executive in 3 reports. Outside the state and community spheres, the chairperson of a renewable-energy studies (an NGO-Person1) is recorded as the most dominant NGO actor. Actor names in </w:t>
      </w:r>
      <w:r w:rsidR="00276963" w:rsidRPr="005D550B">
        <w:rPr>
          <w:rFonts w:ascii="Cambria" w:eastAsia="Cambria" w:hAnsi="Cambria" w:cs="Cambria"/>
          <w:sz w:val="22"/>
          <w:szCs w:val="22"/>
        </w:rPr>
        <w:t>(</w:t>
      </w:r>
      <w:r w:rsidRPr="005D550B">
        <w:rPr>
          <w:rFonts w:ascii="Cambria" w:eastAsia="Cambria" w:hAnsi="Cambria" w:cs="Cambria"/>
          <w:sz w:val="22"/>
          <w:szCs w:val="22"/>
        </w:rPr>
        <w:t>Table 3</w:t>
      </w:r>
      <w:r w:rsidR="00276963" w:rsidRPr="005D550B">
        <w:rPr>
          <w:rFonts w:ascii="Cambria" w:eastAsia="Cambria" w:hAnsi="Cambria" w:cs="Cambria"/>
          <w:sz w:val="22"/>
          <w:szCs w:val="22"/>
        </w:rPr>
        <w:t>)</w:t>
      </w:r>
      <w:r w:rsidRPr="005D550B">
        <w:rPr>
          <w:rFonts w:ascii="Cambria" w:eastAsia="Cambria" w:hAnsi="Cambria" w:cs="Cambria"/>
          <w:sz w:val="22"/>
          <w:szCs w:val="22"/>
        </w:rPr>
        <w:t xml:space="preserve"> have been anonymized. Roles are maintained as identifiers for analytical traceability without disclosing individual identities.</w:t>
      </w:r>
    </w:p>
    <w:p w14:paraId="18DA5DB5" w14:textId="77777777" w:rsidR="00AE2D5B" w:rsidRPr="005D550B" w:rsidRDefault="00AE2D5B">
      <w:pPr>
        <w:pBdr>
          <w:top w:val="nil"/>
          <w:left w:val="nil"/>
          <w:bottom w:val="nil"/>
          <w:right w:val="nil"/>
          <w:between w:val="nil"/>
        </w:pBdr>
        <w:ind w:firstLine="426"/>
        <w:rPr>
          <w:rFonts w:ascii="Cambria" w:eastAsia="Cambria" w:hAnsi="Cambria" w:cs="Cambria"/>
          <w:sz w:val="22"/>
          <w:szCs w:val="22"/>
        </w:rPr>
      </w:pPr>
    </w:p>
    <w:p w14:paraId="3813D4DA" w14:textId="6FDE5BEC" w:rsidR="004866CF" w:rsidRPr="005D550B" w:rsidRDefault="004866CF" w:rsidP="004866CF">
      <w:pPr>
        <w:widowControl w:val="0"/>
        <w:tabs>
          <w:tab w:val="left" w:pos="540"/>
        </w:tabs>
        <w:rPr>
          <w:rFonts w:ascii="Cambria" w:eastAsia="Cambria" w:hAnsi="Cambria" w:cs="Cambria"/>
        </w:rPr>
      </w:pPr>
      <w:r w:rsidRPr="005D550B">
        <w:rPr>
          <w:rFonts w:ascii="Cambria" w:eastAsia="Cambria" w:hAnsi="Cambria" w:cs="Cambria"/>
        </w:rPr>
        <w:lastRenderedPageBreak/>
        <w:t xml:space="preserve">Table 3. Actor </w:t>
      </w:r>
      <w:r w:rsidR="00D6424B" w:rsidRPr="005D550B">
        <w:rPr>
          <w:rFonts w:ascii="Cambria" w:eastAsia="Cambria" w:hAnsi="Cambria" w:cs="Cambria"/>
        </w:rPr>
        <w:t>c</w:t>
      </w:r>
      <w:r w:rsidRPr="005D550B">
        <w:rPr>
          <w:rFonts w:ascii="Cambria" w:eastAsia="Cambria" w:hAnsi="Cambria" w:cs="Cambria"/>
        </w:rPr>
        <w:t>ategories</w:t>
      </w:r>
    </w:p>
    <w:tbl>
      <w:tblPr>
        <w:tblW w:w="8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25"/>
        <w:gridCol w:w="1530"/>
        <w:gridCol w:w="4590"/>
      </w:tblGrid>
      <w:tr w:rsidR="004866CF" w:rsidRPr="005D550B" w14:paraId="7F12E4DD" w14:textId="77777777" w:rsidTr="00D6424B">
        <w:trPr>
          <w:trHeight w:val="20"/>
        </w:trPr>
        <w:tc>
          <w:tcPr>
            <w:tcW w:w="2425" w:type="dxa"/>
            <w:tcBorders>
              <w:top w:val="single" w:sz="4" w:space="0" w:color="000000"/>
              <w:left w:val="single" w:sz="4" w:space="0" w:color="FFFFFF"/>
              <w:bottom w:val="single" w:sz="4" w:space="0" w:color="000000"/>
              <w:right w:val="single" w:sz="4" w:space="0" w:color="FFFFFF"/>
            </w:tcBorders>
            <w:hideMark/>
          </w:tcPr>
          <w:p w14:paraId="6BD97EC4" w14:textId="5C922D9D" w:rsidR="004866CF" w:rsidRPr="005D550B" w:rsidRDefault="007E71B6" w:rsidP="00D6424B">
            <w:pPr>
              <w:ind w:left="-118"/>
              <w:jc w:val="left"/>
              <w:rPr>
                <w:rFonts w:ascii="Cambria" w:eastAsia="Cambria" w:hAnsi="Cambria" w:cs="Cambria"/>
              </w:rPr>
            </w:pPr>
            <w:r w:rsidRPr="005D550B">
              <w:rPr>
                <w:rFonts w:ascii="Cambria" w:eastAsia="Cambria" w:hAnsi="Cambria" w:cs="Cambria"/>
              </w:rPr>
              <w:t>Actor Category</w:t>
            </w:r>
          </w:p>
        </w:tc>
        <w:tc>
          <w:tcPr>
            <w:tcW w:w="1530" w:type="dxa"/>
            <w:tcBorders>
              <w:top w:val="single" w:sz="4" w:space="0" w:color="000000"/>
              <w:left w:val="single" w:sz="4" w:space="0" w:color="FFFFFF"/>
              <w:bottom w:val="single" w:sz="4" w:space="0" w:color="000000"/>
              <w:right w:val="single" w:sz="4" w:space="0" w:color="FFFFFF"/>
            </w:tcBorders>
            <w:hideMark/>
          </w:tcPr>
          <w:p w14:paraId="11E121AA" w14:textId="1BC05768" w:rsidR="004866CF" w:rsidRPr="005D550B" w:rsidRDefault="007E71B6" w:rsidP="00D6424B">
            <w:pPr>
              <w:ind w:left="-118"/>
              <w:jc w:val="left"/>
              <w:rPr>
                <w:rFonts w:ascii="Cambria" w:eastAsia="Cambria" w:hAnsi="Cambria" w:cs="Cambria"/>
              </w:rPr>
            </w:pPr>
            <w:r w:rsidRPr="005D550B">
              <w:rPr>
                <w:rFonts w:ascii="Cambria" w:eastAsia="Cambria" w:hAnsi="Cambria" w:cs="Cambria"/>
              </w:rPr>
              <w:t>Frequency</w:t>
            </w:r>
          </w:p>
        </w:tc>
        <w:tc>
          <w:tcPr>
            <w:tcW w:w="4590" w:type="dxa"/>
            <w:tcBorders>
              <w:top w:val="single" w:sz="4" w:space="0" w:color="000000"/>
              <w:left w:val="single" w:sz="4" w:space="0" w:color="FFFFFF"/>
              <w:bottom w:val="single" w:sz="4" w:space="0" w:color="000000"/>
              <w:right w:val="single" w:sz="4" w:space="0" w:color="FFFFFF"/>
            </w:tcBorders>
            <w:hideMark/>
          </w:tcPr>
          <w:p w14:paraId="04D51F00" w14:textId="2A62F212" w:rsidR="004866CF" w:rsidRPr="005D550B" w:rsidRDefault="007E71B6" w:rsidP="00D6424B">
            <w:pPr>
              <w:ind w:left="-118"/>
              <w:jc w:val="left"/>
              <w:rPr>
                <w:rFonts w:ascii="Cambria" w:eastAsia="Cambria" w:hAnsi="Cambria" w:cs="Cambria"/>
              </w:rPr>
            </w:pPr>
            <w:r w:rsidRPr="005D550B">
              <w:rPr>
                <w:rFonts w:ascii="Cambria" w:eastAsia="Cambria" w:hAnsi="Cambria" w:cs="Cambria"/>
              </w:rPr>
              <w:t>Dominant Source Person</w:t>
            </w:r>
          </w:p>
        </w:tc>
      </w:tr>
      <w:tr w:rsidR="007E71B6" w:rsidRPr="005D550B" w14:paraId="5425769F" w14:textId="77777777" w:rsidTr="00D6424B">
        <w:trPr>
          <w:trHeight w:val="20"/>
        </w:trPr>
        <w:tc>
          <w:tcPr>
            <w:tcW w:w="2425" w:type="dxa"/>
            <w:vMerge w:val="restart"/>
            <w:tcBorders>
              <w:top w:val="single" w:sz="4" w:space="0" w:color="FFFFFF"/>
              <w:left w:val="single" w:sz="4" w:space="0" w:color="FFFFFF"/>
              <w:right w:val="single" w:sz="4" w:space="0" w:color="FFFFFF"/>
            </w:tcBorders>
          </w:tcPr>
          <w:p w14:paraId="4287EAE5" w14:textId="566669B6" w:rsidR="007E71B6" w:rsidRPr="005D550B" w:rsidRDefault="007E71B6" w:rsidP="00D6424B">
            <w:pPr>
              <w:ind w:left="-118"/>
              <w:jc w:val="left"/>
              <w:rPr>
                <w:rFonts w:ascii="Cambria" w:eastAsia="Cambria" w:hAnsi="Cambria" w:cs="Cambria"/>
              </w:rPr>
            </w:pPr>
            <w:r w:rsidRPr="005D550B">
              <w:rPr>
                <w:rFonts w:ascii="Cambria" w:eastAsia="Cambria" w:hAnsi="Cambria" w:cs="Cambria"/>
              </w:rPr>
              <w:t>PLN</w:t>
            </w:r>
          </w:p>
        </w:tc>
        <w:tc>
          <w:tcPr>
            <w:tcW w:w="1530" w:type="dxa"/>
            <w:vMerge w:val="restart"/>
            <w:tcBorders>
              <w:top w:val="single" w:sz="4" w:space="0" w:color="FFFFFF"/>
              <w:left w:val="single" w:sz="4" w:space="0" w:color="FFFFFF"/>
              <w:right w:val="single" w:sz="4" w:space="0" w:color="FFFFFF"/>
            </w:tcBorders>
          </w:tcPr>
          <w:p w14:paraId="734B2F80" w14:textId="6DE42CD2" w:rsidR="007E71B6" w:rsidRPr="005D550B" w:rsidRDefault="007E71B6" w:rsidP="00D6424B">
            <w:pPr>
              <w:ind w:left="-118"/>
              <w:jc w:val="left"/>
              <w:rPr>
                <w:rFonts w:ascii="Cambria" w:eastAsia="Cambria" w:hAnsi="Cambria" w:cs="Cambria"/>
              </w:rPr>
            </w:pPr>
            <w:r w:rsidRPr="005D550B">
              <w:rPr>
                <w:rFonts w:ascii="Cambria" w:eastAsia="Cambria" w:hAnsi="Cambria" w:cs="Cambria"/>
              </w:rPr>
              <w:t>30</w:t>
            </w:r>
          </w:p>
        </w:tc>
        <w:tc>
          <w:tcPr>
            <w:tcW w:w="4590" w:type="dxa"/>
            <w:tcBorders>
              <w:top w:val="single" w:sz="4" w:space="0" w:color="FFFFFF"/>
              <w:left w:val="single" w:sz="4" w:space="0" w:color="FFFFFF"/>
              <w:bottom w:val="single" w:sz="4" w:space="0" w:color="FFFFFF"/>
              <w:right w:val="single" w:sz="4" w:space="0" w:color="FFFFFF"/>
            </w:tcBorders>
          </w:tcPr>
          <w:p w14:paraId="266A3950" w14:textId="6F433EA1" w:rsidR="00AF5978" w:rsidRPr="005D550B" w:rsidRDefault="007E71B6" w:rsidP="00D6424B">
            <w:pPr>
              <w:ind w:left="-118"/>
              <w:jc w:val="left"/>
              <w:rPr>
                <w:rFonts w:ascii="Cambria" w:eastAsia="Cambria" w:hAnsi="Cambria" w:cs="Cambria"/>
              </w:rPr>
            </w:pPr>
            <w:r w:rsidRPr="005D550B">
              <w:rPr>
                <w:rFonts w:ascii="Cambria" w:eastAsia="Cambria" w:hAnsi="Cambria" w:cs="Cambria"/>
              </w:rPr>
              <w:t>PLN-Exec1 (4)</w:t>
            </w:r>
          </w:p>
        </w:tc>
      </w:tr>
      <w:tr w:rsidR="007E71B6" w:rsidRPr="005D550B" w14:paraId="4DE16C49" w14:textId="77777777" w:rsidTr="00D6424B">
        <w:trPr>
          <w:trHeight w:val="20"/>
        </w:trPr>
        <w:tc>
          <w:tcPr>
            <w:tcW w:w="2425" w:type="dxa"/>
            <w:vMerge/>
            <w:tcBorders>
              <w:left w:val="single" w:sz="4" w:space="0" w:color="FFFFFF"/>
              <w:right w:val="single" w:sz="4" w:space="0" w:color="FFFFFF"/>
            </w:tcBorders>
          </w:tcPr>
          <w:p w14:paraId="6EB6A066" w14:textId="47BF7783" w:rsidR="007E71B6" w:rsidRPr="005D550B" w:rsidRDefault="007E71B6" w:rsidP="00D6424B">
            <w:pPr>
              <w:ind w:left="-118"/>
              <w:jc w:val="left"/>
              <w:rPr>
                <w:rFonts w:ascii="Cambria" w:eastAsia="Cambria" w:hAnsi="Cambria" w:cs="Cambria"/>
              </w:rPr>
            </w:pPr>
          </w:p>
        </w:tc>
        <w:tc>
          <w:tcPr>
            <w:tcW w:w="1530" w:type="dxa"/>
            <w:vMerge/>
            <w:tcBorders>
              <w:left w:val="single" w:sz="4" w:space="0" w:color="FFFFFF"/>
              <w:right w:val="single" w:sz="4" w:space="0" w:color="FFFFFF"/>
            </w:tcBorders>
          </w:tcPr>
          <w:p w14:paraId="6F3455A0" w14:textId="77777777" w:rsidR="007E71B6" w:rsidRPr="005D550B" w:rsidRDefault="007E71B6" w:rsidP="00D6424B">
            <w:pPr>
              <w:ind w:left="-118"/>
              <w:jc w:val="left"/>
              <w:rPr>
                <w:rFonts w:ascii="Cambria" w:eastAsia="Cambria" w:hAnsi="Cambria" w:cs="Cambria"/>
              </w:rPr>
            </w:pPr>
          </w:p>
        </w:tc>
        <w:tc>
          <w:tcPr>
            <w:tcW w:w="4590" w:type="dxa"/>
            <w:tcBorders>
              <w:top w:val="single" w:sz="4" w:space="0" w:color="FFFFFF"/>
              <w:left w:val="single" w:sz="4" w:space="0" w:color="FFFFFF"/>
              <w:bottom w:val="single" w:sz="4" w:space="0" w:color="FFFFFF"/>
              <w:right w:val="single" w:sz="4" w:space="0" w:color="FFFFFF"/>
            </w:tcBorders>
          </w:tcPr>
          <w:p w14:paraId="45C5BC9B" w14:textId="01C6AB0A" w:rsidR="00AF5978" w:rsidRPr="005D550B" w:rsidRDefault="007E71B6" w:rsidP="00D6424B">
            <w:pPr>
              <w:ind w:left="-118"/>
              <w:jc w:val="left"/>
              <w:rPr>
                <w:rFonts w:ascii="Cambria" w:eastAsia="Cambria" w:hAnsi="Cambria" w:cs="Cambria"/>
              </w:rPr>
            </w:pPr>
            <w:r w:rsidRPr="005D550B">
              <w:rPr>
                <w:rFonts w:ascii="Cambria" w:eastAsia="Cambria" w:hAnsi="Cambria" w:cs="Cambria"/>
              </w:rPr>
              <w:t>PLN-Exec2 (3)</w:t>
            </w:r>
          </w:p>
        </w:tc>
      </w:tr>
      <w:tr w:rsidR="007E71B6" w:rsidRPr="005D550B" w14:paraId="2F9A52B0" w14:textId="77777777" w:rsidTr="00D6424B">
        <w:trPr>
          <w:trHeight w:val="20"/>
        </w:trPr>
        <w:tc>
          <w:tcPr>
            <w:tcW w:w="2425" w:type="dxa"/>
            <w:vMerge/>
            <w:tcBorders>
              <w:left w:val="single" w:sz="4" w:space="0" w:color="FFFFFF"/>
              <w:bottom w:val="single" w:sz="4" w:space="0" w:color="FFFFFF"/>
              <w:right w:val="single" w:sz="4" w:space="0" w:color="FFFFFF"/>
            </w:tcBorders>
          </w:tcPr>
          <w:p w14:paraId="545B69C7" w14:textId="77777777" w:rsidR="007E71B6" w:rsidRPr="005D550B" w:rsidRDefault="007E71B6" w:rsidP="00D6424B">
            <w:pPr>
              <w:ind w:left="-118"/>
              <w:jc w:val="left"/>
              <w:rPr>
                <w:rFonts w:ascii="Cambria" w:eastAsia="Cambria" w:hAnsi="Cambria" w:cs="Cambria"/>
              </w:rPr>
            </w:pPr>
          </w:p>
        </w:tc>
        <w:tc>
          <w:tcPr>
            <w:tcW w:w="1530" w:type="dxa"/>
            <w:vMerge/>
            <w:tcBorders>
              <w:left w:val="single" w:sz="4" w:space="0" w:color="FFFFFF"/>
              <w:bottom w:val="single" w:sz="4" w:space="0" w:color="FFFFFF"/>
              <w:right w:val="single" w:sz="4" w:space="0" w:color="FFFFFF"/>
            </w:tcBorders>
          </w:tcPr>
          <w:p w14:paraId="51F5ED31" w14:textId="77777777" w:rsidR="007E71B6" w:rsidRPr="005D550B" w:rsidRDefault="007E71B6" w:rsidP="00D6424B">
            <w:pPr>
              <w:ind w:left="-118"/>
              <w:jc w:val="left"/>
              <w:rPr>
                <w:rFonts w:ascii="Cambria" w:eastAsia="Cambria" w:hAnsi="Cambria" w:cs="Cambria"/>
              </w:rPr>
            </w:pPr>
          </w:p>
        </w:tc>
        <w:tc>
          <w:tcPr>
            <w:tcW w:w="4590" w:type="dxa"/>
            <w:tcBorders>
              <w:top w:val="single" w:sz="4" w:space="0" w:color="FFFFFF"/>
              <w:left w:val="single" w:sz="4" w:space="0" w:color="FFFFFF"/>
              <w:bottom w:val="single" w:sz="4" w:space="0" w:color="FFFFFF"/>
              <w:right w:val="single" w:sz="4" w:space="0" w:color="FFFFFF"/>
            </w:tcBorders>
          </w:tcPr>
          <w:p w14:paraId="6299568D" w14:textId="3D9C5E8C" w:rsidR="007E71B6" w:rsidRPr="005D550B" w:rsidRDefault="007E71B6" w:rsidP="00D6424B">
            <w:pPr>
              <w:ind w:left="-118"/>
              <w:jc w:val="left"/>
              <w:rPr>
                <w:rFonts w:ascii="Cambria" w:eastAsia="Cambria" w:hAnsi="Cambria" w:cs="Cambria"/>
              </w:rPr>
            </w:pPr>
            <w:r w:rsidRPr="005D550B">
              <w:rPr>
                <w:rFonts w:ascii="Cambria" w:eastAsia="Cambria" w:hAnsi="Cambria" w:cs="Cambria"/>
              </w:rPr>
              <w:t>PLN-Exec3 (2)</w:t>
            </w:r>
          </w:p>
        </w:tc>
      </w:tr>
      <w:tr w:rsidR="007E71B6" w:rsidRPr="005D550B" w14:paraId="6A196C07" w14:textId="77777777" w:rsidTr="00D6424B">
        <w:trPr>
          <w:trHeight w:val="20"/>
        </w:trPr>
        <w:tc>
          <w:tcPr>
            <w:tcW w:w="2425" w:type="dxa"/>
            <w:tcBorders>
              <w:top w:val="single" w:sz="4" w:space="0" w:color="FFFFFF"/>
              <w:left w:val="single" w:sz="4" w:space="0" w:color="FFFFFF"/>
              <w:bottom w:val="single" w:sz="4" w:space="0" w:color="FFFFFF"/>
              <w:right w:val="single" w:sz="4" w:space="0" w:color="FFFFFF"/>
            </w:tcBorders>
          </w:tcPr>
          <w:p w14:paraId="60B10875" w14:textId="3B2E580E" w:rsidR="007E71B6" w:rsidRPr="005D550B" w:rsidRDefault="00C94255" w:rsidP="00D6424B">
            <w:pPr>
              <w:ind w:left="-118"/>
              <w:jc w:val="left"/>
              <w:rPr>
                <w:rFonts w:ascii="Cambria" w:eastAsia="Cambria" w:hAnsi="Cambria" w:cs="Cambria"/>
              </w:rPr>
            </w:pPr>
            <w:r>
              <w:rPr>
                <w:rFonts w:ascii="Cambria" w:eastAsia="Cambria" w:hAnsi="Cambria" w:cs="Cambria"/>
              </w:rPr>
              <w:t>Community</w:t>
            </w:r>
          </w:p>
        </w:tc>
        <w:tc>
          <w:tcPr>
            <w:tcW w:w="1530" w:type="dxa"/>
            <w:tcBorders>
              <w:top w:val="single" w:sz="4" w:space="0" w:color="FFFFFF"/>
              <w:left w:val="single" w:sz="4" w:space="0" w:color="FFFFFF"/>
              <w:bottom w:val="single" w:sz="4" w:space="0" w:color="FFFFFF"/>
              <w:right w:val="single" w:sz="4" w:space="0" w:color="FFFFFF"/>
            </w:tcBorders>
          </w:tcPr>
          <w:p w14:paraId="029E6459" w14:textId="24F0409A" w:rsidR="007E71B6" w:rsidRPr="005D550B" w:rsidRDefault="007E71B6" w:rsidP="00D6424B">
            <w:pPr>
              <w:ind w:left="-118"/>
              <w:jc w:val="left"/>
              <w:rPr>
                <w:rFonts w:ascii="Cambria" w:eastAsia="Cambria" w:hAnsi="Cambria" w:cs="Cambria"/>
              </w:rPr>
            </w:pPr>
            <w:r w:rsidRPr="005D550B">
              <w:rPr>
                <w:rFonts w:ascii="Cambria" w:eastAsia="Cambria" w:hAnsi="Cambria" w:cs="Cambria"/>
              </w:rPr>
              <w:t>29</w:t>
            </w:r>
          </w:p>
        </w:tc>
        <w:tc>
          <w:tcPr>
            <w:tcW w:w="4590" w:type="dxa"/>
            <w:tcBorders>
              <w:top w:val="single" w:sz="4" w:space="0" w:color="FFFFFF"/>
              <w:left w:val="single" w:sz="4" w:space="0" w:color="FFFFFF"/>
              <w:bottom w:val="single" w:sz="4" w:space="0" w:color="FFFFFF"/>
              <w:right w:val="single" w:sz="4" w:space="0" w:color="FFFFFF"/>
            </w:tcBorders>
          </w:tcPr>
          <w:p w14:paraId="117C56C5" w14:textId="32E3F861" w:rsidR="000A3F10" w:rsidRPr="005D550B" w:rsidRDefault="007E71B6" w:rsidP="00D6424B">
            <w:pPr>
              <w:ind w:left="-118"/>
              <w:jc w:val="left"/>
              <w:rPr>
                <w:rFonts w:ascii="Cambria" w:eastAsia="Cambria" w:hAnsi="Cambria" w:cs="Cambria"/>
              </w:rPr>
            </w:pPr>
            <w:r w:rsidRPr="005D550B">
              <w:rPr>
                <w:rFonts w:ascii="Cambria" w:eastAsia="Cambria" w:hAnsi="Cambria" w:cs="Cambria"/>
              </w:rPr>
              <w:t>Poco Leok Customary Leader (2)</w:t>
            </w:r>
          </w:p>
        </w:tc>
      </w:tr>
      <w:tr w:rsidR="000A3F10" w:rsidRPr="005D550B" w14:paraId="130F4E8F" w14:textId="77777777" w:rsidTr="00D6424B">
        <w:trPr>
          <w:trHeight w:val="20"/>
        </w:trPr>
        <w:tc>
          <w:tcPr>
            <w:tcW w:w="2425" w:type="dxa"/>
            <w:vMerge w:val="restart"/>
            <w:tcBorders>
              <w:top w:val="single" w:sz="4" w:space="0" w:color="FFFFFF"/>
              <w:left w:val="single" w:sz="4" w:space="0" w:color="FFFFFF"/>
              <w:right w:val="single" w:sz="4" w:space="0" w:color="FFFFFF"/>
            </w:tcBorders>
          </w:tcPr>
          <w:p w14:paraId="6C523CAE" w14:textId="04957122" w:rsidR="000A3F10" w:rsidRPr="005D550B" w:rsidRDefault="000A3F10" w:rsidP="00D6424B">
            <w:pPr>
              <w:ind w:left="-118"/>
              <w:jc w:val="left"/>
              <w:rPr>
                <w:rFonts w:ascii="Cambria" w:eastAsia="Cambria" w:hAnsi="Cambria" w:cs="Cambria"/>
              </w:rPr>
            </w:pPr>
            <w:r w:rsidRPr="005D550B">
              <w:rPr>
                <w:rFonts w:ascii="Cambria" w:eastAsia="Cambria" w:hAnsi="Cambria" w:cs="Cambria"/>
              </w:rPr>
              <w:t>NGO</w:t>
            </w:r>
          </w:p>
        </w:tc>
        <w:tc>
          <w:tcPr>
            <w:tcW w:w="1530" w:type="dxa"/>
            <w:vMerge w:val="restart"/>
            <w:tcBorders>
              <w:top w:val="single" w:sz="4" w:space="0" w:color="FFFFFF"/>
              <w:left w:val="single" w:sz="4" w:space="0" w:color="FFFFFF"/>
              <w:right w:val="single" w:sz="4" w:space="0" w:color="FFFFFF"/>
            </w:tcBorders>
          </w:tcPr>
          <w:p w14:paraId="29EECDE2" w14:textId="4E9F902F" w:rsidR="000A3F10" w:rsidRPr="005D550B" w:rsidRDefault="000A3F10" w:rsidP="00D6424B">
            <w:pPr>
              <w:ind w:left="-118"/>
              <w:jc w:val="left"/>
              <w:rPr>
                <w:rFonts w:ascii="Cambria" w:eastAsia="Cambria" w:hAnsi="Cambria" w:cs="Cambria"/>
              </w:rPr>
            </w:pPr>
            <w:r w:rsidRPr="005D550B">
              <w:rPr>
                <w:rFonts w:ascii="Cambria" w:eastAsia="Cambria" w:hAnsi="Cambria" w:cs="Cambria"/>
              </w:rPr>
              <w:t>23</w:t>
            </w:r>
          </w:p>
        </w:tc>
        <w:tc>
          <w:tcPr>
            <w:tcW w:w="4590" w:type="dxa"/>
            <w:tcBorders>
              <w:top w:val="single" w:sz="4" w:space="0" w:color="FFFFFF"/>
              <w:left w:val="single" w:sz="4" w:space="0" w:color="FFFFFF"/>
              <w:bottom w:val="single" w:sz="4" w:space="0" w:color="FFFFFF"/>
              <w:right w:val="single" w:sz="4" w:space="0" w:color="FFFFFF"/>
            </w:tcBorders>
          </w:tcPr>
          <w:p w14:paraId="495D1584" w14:textId="05543C6E" w:rsidR="000A3F10" w:rsidRPr="005D550B" w:rsidRDefault="000A3F10" w:rsidP="00D6424B">
            <w:pPr>
              <w:ind w:left="-118"/>
              <w:jc w:val="left"/>
              <w:rPr>
                <w:rFonts w:ascii="Cambria" w:eastAsia="Cambria" w:hAnsi="Cambria" w:cs="Cambria"/>
              </w:rPr>
            </w:pPr>
            <w:r w:rsidRPr="005D550B">
              <w:rPr>
                <w:rFonts w:ascii="Cambria" w:eastAsia="Cambria" w:hAnsi="Cambria" w:cs="Cambria"/>
              </w:rPr>
              <w:t>NGO-Chairperson-</w:t>
            </w:r>
            <w:r w:rsidR="004E7B71" w:rsidRPr="005D550B">
              <w:rPr>
                <w:rFonts w:ascii="Cambria" w:eastAsia="Cambria" w:hAnsi="Cambria" w:cs="Cambria"/>
              </w:rPr>
              <w:t>Renewable Energy</w:t>
            </w:r>
            <w:r w:rsidRPr="005D550B">
              <w:rPr>
                <w:rFonts w:ascii="Cambria" w:eastAsia="Cambria" w:hAnsi="Cambria" w:cs="Cambria"/>
              </w:rPr>
              <w:t xml:space="preserve"> (4)</w:t>
            </w:r>
          </w:p>
        </w:tc>
      </w:tr>
      <w:tr w:rsidR="000A3F10" w:rsidRPr="005D550B" w14:paraId="041666BF" w14:textId="77777777" w:rsidTr="00D6424B">
        <w:trPr>
          <w:trHeight w:val="20"/>
        </w:trPr>
        <w:tc>
          <w:tcPr>
            <w:tcW w:w="2425" w:type="dxa"/>
            <w:vMerge/>
            <w:tcBorders>
              <w:left w:val="single" w:sz="4" w:space="0" w:color="FFFFFF"/>
              <w:right w:val="single" w:sz="4" w:space="0" w:color="FFFFFF"/>
            </w:tcBorders>
          </w:tcPr>
          <w:p w14:paraId="58200830" w14:textId="77777777" w:rsidR="000A3F10" w:rsidRPr="005D550B" w:rsidRDefault="000A3F10" w:rsidP="00D6424B">
            <w:pPr>
              <w:ind w:left="-118"/>
              <w:jc w:val="left"/>
              <w:rPr>
                <w:rFonts w:ascii="Cambria" w:eastAsia="Cambria" w:hAnsi="Cambria" w:cs="Cambria"/>
              </w:rPr>
            </w:pPr>
          </w:p>
        </w:tc>
        <w:tc>
          <w:tcPr>
            <w:tcW w:w="1530" w:type="dxa"/>
            <w:vMerge/>
            <w:tcBorders>
              <w:left w:val="single" w:sz="4" w:space="0" w:color="FFFFFF"/>
              <w:right w:val="single" w:sz="4" w:space="0" w:color="FFFFFF"/>
            </w:tcBorders>
          </w:tcPr>
          <w:p w14:paraId="5FE70FF9" w14:textId="77777777" w:rsidR="000A3F10" w:rsidRPr="005D550B" w:rsidRDefault="000A3F10" w:rsidP="00D6424B">
            <w:pPr>
              <w:ind w:left="-118"/>
              <w:jc w:val="left"/>
              <w:rPr>
                <w:rFonts w:ascii="Cambria" w:eastAsia="Cambria" w:hAnsi="Cambria" w:cs="Cambria"/>
              </w:rPr>
            </w:pPr>
          </w:p>
        </w:tc>
        <w:tc>
          <w:tcPr>
            <w:tcW w:w="4590" w:type="dxa"/>
            <w:tcBorders>
              <w:top w:val="single" w:sz="4" w:space="0" w:color="FFFFFF"/>
              <w:left w:val="single" w:sz="4" w:space="0" w:color="FFFFFF"/>
              <w:bottom w:val="single" w:sz="4" w:space="0" w:color="FFFFFF"/>
              <w:right w:val="single" w:sz="4" w:space="0" w:color="FFFFFF"/>
            </w:tcBorders>
          </w:tcPr>
          <w:p w14:paraId="3E5CAAEF" w14:textId="1504A721" w:rsidR="000A3F10" w:rsidRPr="005D550B" w:rsidRDefault="000A3F10" w:rsidP="00D6424B">
            <w:pPr>
              <w:ind w:left="-118"/>
              <w:jc w:val="left"/>
              <w:rPr>
                <w:rFonts w:ascii="Cambria" w:eastAsia="Cambria" w:hAnsi="Cambria" w:cs="Cambria"/>
              </w:rPr>
            </w:pPr>
            <w:r w:rsidRPr="005D550B">
              <w:rPr>
                <w:rFonts w:ascii="Cambria" w:eastAsia="Cambria" w:hAnsi="Cambria" w:cs="Cambria"/>
              </w:rPr>
              <w:t>NGO-Member-Grassroot</w:t>
            </w:r>
            <w:r w:rsidR="004E7B71">
              <w:rPr>
                <w:rFonts w:ascii="Cambria" w:eastAsia="Cambria" w:hAnsi="Cambria" w:cs="Cambria"/>
              </w:rPr>
              <w:t xml:space="preserve"> </w:t>
            </w:r>
            <w:r w:rsidR="004E7B71" w:rsidRPr="005D550B">
              <w:rPr>
                <w:rFonts w:ascii="Cambria" w:eastAsia="Cambria" w:hAnsi="Cambria" w:cs="Cambria"/>
              </w:rPr>
              <w:t>Community</w:t>
            </w:r>
            <w:r w:rsidR="004E7B71">
              <w:rPr>
                <w:rFonts w:ascii="Cambria" w:eastAsia="Cambria" w:hAnsi="Cambria" w:cs="Cambria"/>
              </w:rPr>
              <w:t xml:space="preserve"> </w:t>
            </w:r>
            <w:r w:rsidRPr="005D550B">
              <w:rPr>
                <w:rFonts w:ascii="Cambria" w:eastAsia="Cambria" w:hAnsi="Cambria" w:cs="Cambria"/>
              </w:rPr>
              <w:t>A (2)</w:t>
            </w:r>
          </w:p>
        </w:tc>
      </w:tr>
      <w:tr w:rsidR="000A3F10" w:rsidRPr="005D550B" w14:paraId="4AF8F569" w14:textId="77777777" w:rsidTr="00D6424B">
        <w:trPr>
          <w:trHeight w:val="20"/>
        </w:trPr>
        <w:tc>
          <w:tcPr>
            <w:tcW w:w="2425" w:type="dxa"/>
            <w:vMerge/>
            <w:tcBorders>
              <w:left w:val="single" w:sz="4" w:space="0" w:color="FFFFFF"/>
              <w:bottom w:val="single" w:sz="4" w:space="0" w:color="FFFFFF"/>
              <w:right w:val="single" w:sz="4" w:space="0" w:color="FFFFFF"/>
            </w:tcBorders>
          </w:tcPr>
          <w:p w14:paraId="6A7071A5" w14:textId="77777777" w:rsidR="000A3F10" w:rsidRPr="005D550B" w:rsidRDefault="000A3F10" w:rsidP="00D6424B">
            <w:pPr>
              <w:ind w:left="-118"/>
              <w:jc w:val="left"/>
              <w:rPr>
                <w:rFonts w:ascii="Cambria" w:eastAsia="Cambria" w:hAnsi="Cambria" w:cs="Cambria"/>
              </w:rPr>
            </w:pPr>
          </w:p>
        </w:tc>
        <w:tc>
          <w:tcPr>
            <w:tcW w:w="1530" w:type="dxa"/>
            <w:vMerge/>
            <w:tcBorders>
              <w:left w:val="single" w:sz="4" w:space="0" w:color="FFFFFF"/>
              <w:bottom w:val="single" w:sz="4" w:space="0" w:color="FFFFFF"/>
              <w:right w:val="single" w:sz="4" w:space="0" w:color="FFFFFF"/>
            </w:tcBorders>
          </w:tcPr>
          <w:p w14:paraId="76C4B2FC" w14:textId="77777777" w:rsidR="000A3F10" w:rsidRPr="005D550B" w:rsidRDefault="000A3F10" w:rsidP="00D6424B">
            <w:pPr>
              <w:ind w:left="-118"/>
              <w:jc w:val="left"/>
              <w:rPr>
                <w:rFonts w:ascii="Cambria" w:eastAsia="Cambria" w:hAnsi="Cambria" w:cs="Cambria"/>
              </w:rPr>
            </w:pPr>
          </w:p>
        </w:tc>
        <w:tc>
          <w:tcPr>
            <w:tcW w:w="4590" w:type="dxa"/>
            <w:tcBorders>
              <w:top w:val="single" w:sz="4" w:space="0" w:color="FFFFFF"/>
              <w:left w:val="single" w:sz="4" w:space="0" w:color="FFFFFF"/>
              <w:bottom w:val="single" w:sz="4" w:space="0" w:color="FFFFFF"/>
              <w:right w:val="single" w:sz="4" w:space="0" w:color="FFFFFF"/>
            </w:tcBorders>
          </w:tcPr>
          <w:p w14:paraId="73136AE6" w14:textId="5325873F" w:rsidR="00AF5978" w:rsidRPr="005D550B" w:rsidRDefault="000A3F10" w:rsidP="00D6424B">
            <w:pPr>
              <w:ind w:left="-118"/>
              <w:jc w:val="left"/>
              <w:rPr>
                <w:rFonts w:ascii="Cambria" w:eastAsia="Cambria" w:hAnsi="Cambria" w:cs="Cambria"/>
              </w:rPr>
            </w:pPr>
            <w:r w:rsidRPr="005D550B">
              <w:rPr>
                <w:rFonts w:ascii="Cambria" w:eastAsia="Cambria" w:hAnsi="Cambria" w:cs="Cambria"/>
              </w:rPr>
              <w:t>NGO-Coordinator-</w:t>
            </w:r>
            <w:r w:rsidR="004E7B71" w:rsidRPr="005D550B">
              <w:rPr>
                <w:rFonts w:ascii="Cambria" w:eastAsia="Cambria" w:hAnsi="Cambria" w:cs="Cambria"/>
              </w:rPr>
              <w:t>Environmental Justice</w:t>
            </w:r>
            <w:r w:rsidRPr="005D550B">
              <w:rPr>
                <w:rFonts w:ascii="Cambria" w:eastAsia="Cambria" w:hAnsi="Cambria" w:cs="Cambria"/>
              </w:rPr>
              <w:t xml:space="preserve"> (2)</w:t>
            </w:r>
          </w:p>
        </w:tc>
      </w:tr>
      <w:tr w:rsidR="00AF5978" w:rsidRPr="005D550B" w14:paraId="4E30C8E2" w14:textId="77777777" w:rsidTr="00D6424B">
        <w:trPr>
          <w:trHeight w:val="20"/>
        </w:trPr>
        <w:tc>
          <w:tcPr>
            <w:tcW w:w="2425" w:type="dxa"/>
            <w:vMerge w:val="restart"/>
            <w:tcBorders>
              <w:top w:val="single" w:sz="4" w:space="0" w:color="FFFFFF"/>
              <w:left w:val="single" w:sz="4" w:space="0" w:color="FFFFFF"/>
              <w:right w:val="single" w:sz="4" w:space="0" w:color="FFFFFF"/>
            </w:tcBorders>
          </w:tcPr>
          <w:p w14:paraId="4BEBA0B9" w14:textId="0CE91AF2" w:rsidR="00AF5978" w:rsidRPr="005D550B" w:rsidRDefault="00C94255" w:rsidP="00D6424B">
            <w:pPr>
              <w:ind w:left="-118"/>
              <w:jc w:val="left"/>
              <w:rPr>
                <w:rFonts w:ascii="Cambria" w:eastAsia="Cambria" w:hAnsi="Cambria" w:cs="Cambria"/>
              </w:rPr>
            </w:pPr>
            <w:r>
              <w:rPr>
                <w:rFonts w:ascii="Cambria" w:eastAsia="Cambria" w:hAnsi="Cambria" w:cs="Cambria"/>
              </w:rPr>
              <w:t>Government</w:t>
            </w:r>
          </w:p>
        </w:tc>
        <w:tc>
          <w:tcPr>
            <w:tcW w:w="1530" w:type="dxa"/>
            <w:vMerge w:val="restart"/>
            <w:tcBorders>
              <w:top w:val="single" w:sz="4" w:space="0" w:color="FFFFFF"/>
              <w:left w:val="single" w:sz="4" w:space="0" w:color="FFFFFF"/>
              <w:right w:val="single" w:sz="4" w:space="0" w:color="FFFFFF"/>
            </w:tcBorders>
          </w:tcPr>
          <w:p w14:paraId="2981C268" w14:textId="48EF2626" w:rsidR="00AF5978" w:rsidRPr="005D550B" w:rsidRDefault="00AF5978" w:rsidP="00D6424B">
            <w:pPr>
              <w:ind w:left="-118"/>
              <w:jc w:val="left"/>
              <w:rPr>
                <w:rFonts w:ascii="Cambria" w:eastAsia="Cambria" w:hAnsi="Cambria" w:cs="Cambria"/>
              </w:rPr>
            </w:pPr>
            <w:r w:rsidRPr="005D550B">
              <w:rPr>
                <w:rFonts w:ascii="Cambria" w:eastAsia="Cambria" w:hAnsi="Cambria" w:cs="Cambria"/>
              </w:rPr>
              <w:t>20</w:t>
            </w:r>
          </w:p>
        </w:tc>
        <w:tc>
          <w:tcPr>
            <w:tcW w:w="4590" w:type="dxa"/>
            <w:tcBorders>
              <w:top w:val="single" w:sz="4" w:space="0" w:color="FFFFFF"/>
              <w:left w:val="single" w:sz="4" w:space="0" w:color="FFFFFF"/>
              <w:bottom w:val="single" w:sz="4" w:space="0" w:color="FFFFFF"/>
              <w:right w:val="single" w:sz="4" w:space="0" w:color="FFFFFF"/>
            </w:tcBorders>
          </w:tcPr>
          <w:p w14:paraId="720BEA84" w14:textId="142AF828" w:rsidR="00AF5978" w:rsidRPr="005D550B" w:rsidRDefault="00AF5978" w:rsidP="00D6424B">
            <w:pPr>
              <w:ind w:left="-118"/>
              <w:jc w:val="left"/>
              <w:rPr>
                <w:rFonts w:ascii="Cambria" w:eastAsia="Cambria" w:hAnsi="Cambria" w:cs="Cambria"/>
              </w:rPr>
            </w:pPr>
            <w:r w:rsidRPr="005D550B">
              <w:rPr>
                <w:rFonts w:ascii="Cambria" w:eastAsia="Cambria" w:hAnsi="Cambria" w:cs="Cambria"/>
              </w:rPr>
              <w:t>Governor of NTT (4), Director General of EBTKE (4)</w:t>
            </w:r>
          </w:p>
        </w:tc>
      </w:tr>
      <w:tr w:rsidR="00AF5978" w:rsidRPr="005D550B" w14:paraId="4669C47D" w14:textId="77777777" w:rsidTr="00D6424B">
        <w:trPr>
          <w:trHeight w:val="20"/>
        </w:trPr>
        <w:tc>
          <w:tcPr>
            <w:tcW w:w="2425" w:type="dxa"/>
            <w:vMerge/>
            <w:tcBorders>
              <w:left w:val="single" w:sz="4" w:space="0" w:color="FFFFFF"/>
              <w:right w:val="single" w:sz="4" w:space="0" w:color="FFFFFF"/>
            </w:tcBorders>
          </w:tcPr>
          <w:p w14:paraId="4097548D" w14:textId="77777777" w:rsidR="00AF5978" w:rsidRPr="005D550B" w:rsidRDefault="00AF5978" w:rsidP="00D6424B">
            <w:pPr>
              <w:ind w:left="-118"/>
              <w:jc w:val="left"/>
              <w:rPr>
                <w:rFonts w:ascii="Cambria" w:eastAsia="Cambria" w:hAnsi="Cambria" w:cs="Cambria"/>
              </w:rPr>
            </w:pPr>
          </w:p>
        </w:tc>
        <w:tc>
          <w:tcPr>
            <w:tcW w:w="1530" w:type="dxa"/>
            <w:vMerge/>
            <w:tcBorders>
              <w:left w:val="single" w:sz="4" w:space="0" w:color="FFFFFF"/>
              <w:right w:val="single" w:sz="4" w:space="0" w:color="FFFFFF"/>
            </w:tcBorders>
          </w:tcPr>
          <w:p w14:paraId="089385E2" w14:textId="77777777" w:rsidR="00AF5978" w:rsidRPr="005D550B" w:rsidRDefault="00AF5978" w:rsidP="00D6424B">
            <w:pPr>
              <w:ind w:left="-118"/>
              <w:jc w:val="left"/>
              <w:rPr>
                <w:rFonts w:ascii="Cambria" w:eastAsia="Cambria" w:hAnsi="Cambria" w:cs="Cambria"/>
              </w:rPr>
            </w:pPr>
          </w:p>
        </w:tc>
        <w:tc>
          <w:tcPr>
            <w:tcW w:w="4590" w:type="dxa"/>
            <w:tcBorders>
              <w:top w:val="single" w:sz="4" w:space="0" w:color="FFFFFF"/>
              <w:left w:val="single" w:sz="4" w:space="0" w:color="FFFFFF"/>
              <w:bottom w:val="single" w:sz="4" w:space="0" w:color="FFFFFF"/>
              <w:right w:val="single" w:sz="4" w:space="0" w:color="FFFFFF"/>
            </w:tcBorders>
          </w:tcPr>
          <w:p w14:paraId="1E83EEB8" w14:textId="191D0869" w:rsidR="00AF5978" w:rsidRPr="005D550B" w:rsidRDefault="00AF5978" w:rsidP="00D6424B">
            <w:pPr>
              <w:ind w:left="-118"/>
              <w:jc w:val="left"/>
              <w:rPr>
                <w:rFonts w:ascii="Cambria" w:eastAsia="Cambria" w:hAnsi="Cambria" w:cs="Cambria"/>
              </w:rPr>
            </w:pPr>
            <w:r w:rsidRPr="005D550B">
              <w:rPr>
                <w:rFonts w:ascii="Cambria" w:eastAsia="Cambria" w:hAnsi="Cambria" w:cs="Cambria"/>
              </w:rPr>
              <w:t>Director of Geothermal (4)</w:t>
            </w:r>
          </w:p>
        </w:tc>
      </w:tr>
      <w:tr w:rsidR="00AF5978" w:rsidRPr="005D550B" w14:paraId="5D27BEDD" w14:textId="77777777" w:rsidTr="00D6424B">
        <w:trPr>
          <w:trHeight w:val="20"/>
        </w:trPr>
        <w:tc>
          <w:tcPr>
            <w:tcW w:w="2425" w:type="dxa"/>
            <w:vMerge/>
            <w:tcBorders>
              <w:left w:val="single" w:sz="4" w:space="0" w:color="FFFFFF"/>
              <w:bottom w:val="single" w:sz="4" w:space="0" w:color="FFFFFF"/>
              <w:right w:val="single" w:sz="4" w:space="0" w:color="FFFFFF"/>
            </w:tcBorders>
          </w:tcPr>
          <w:p w14:paraId="62A3B95D" w14:textId="77777777" w:rsidR="00AF5978" w:rsidRPr="005D550B" w:rsidRDefault="00AF5978" w:rsidP="00D6424B">
            <w:pPr>
              <w:ind w:left="-118"/>
              <w:jc w:val="left"/>
              <w:rPr>
                <w:rFonts w:ascii="Cambria" w:eastAsia="Cambria" w:hAnsi="Cambria" w:cs="Cambria"/>
              </w:rPr>
            </w:pPr>
          </w:p>
        </w:tc>
        <w:tc>
          <w:tcPr>
            <w:tcW w:w="1530" w:type="dxa"/>
            <w:vMerge/>
            <w:tcBorders>
              <w:left w:val="single" w:sz="4" w:space="0" w:color="FFFFFF"/>
              <w:bottom w:val="single" w:sz="4" w:space="0" w:color="FFFFFF"/>
              <w:right w:val="single" w:sz="4" w:space="0" w:color="FFFFFF"/>
            </w:tcBorders>
          </w:tcPr>
          <w:p w14:paraId="3E0B0957" w14:textId="77777777" w:rsidR="00AF5978" w:rsidRPr="005D550B" w:rsidRDefault="00AF5978" w:rsidP="00D6424B">
            <w:pPr>
              <w:ind w:left="-118"/>
              <w:jc w:val="left"/>
              <w:rPr>
                <w:rFonts w:ascii="Cambria" w:eastAsia="Cambria" w:hAnsi="Cambria" w:cs="Cambria"/>
              </w:rPr>
            </w:pPr>
          </w:p>
        </w:tc>
        <w:tc>
          <w:tcPr>
            <w:tcW w:w="4590" w:type="dxa"/>
            <w:tcBorders>
              <w:top w:val="single" w:sz="4" w:space="0" w:color="FFFFFF"/>
              <w:left w:val="single" w:sz="4" w:space="0" w:color="FFFFFF"/>
              <w:bottom w:val="single" w:sz="4" w:space="0" w:color="FFFFFF"/>
              <w:right w:val="single" w:sz="4" w:space="0" w:color="FFFFFF"/>
            </w:tcBorders>
          </w:tcPr>
          <w:p w14:paraId="48721F4E" w14:textId="09664960" w:rsidR="00AF5978" w:rsidRPr="005D550B" w:rsidRDefault="004E7B71" w:rsidP="00D6424B">
            <w:pPr>
              <w:ind w:left="-118"/>
              <w:jc w:val="left"/>
              <w:rPr>
                <w:rFonts w:ascii="Cambria" w:eastAsia="Cambria" w:hAnsi="Cambria" w:cs="Cambria"/>
              </w:rPr>
            </w:pPr>
            <w:r w:rsidRPr="004E7B71">
              <w:rPr>
                <w:rFonts w:ascii="Cambria" w:eastAsia="Cambria" w:hAnsi="Cambria" w:cs="Cambria"/>
              </w:rPr>
              <w:t xml:space="preserve">Minister of Energy and Mineral Resources </w:t>
            </w:r>
            <w:r w:rsidR="00AF5978" w:rsidRPr="005D550B">
              <w:rPr>
                <w:rFonts w:ascii="Cambria" w:eastAsia="Cambria" w:hAnsi="Cambria" w:cs="Cambria"/>
              </w:rPr>
              <w:t>(2)</w:t>
            </w:r>
          </w:p>
        </w:tc>
      </w:tr>
      <w:tr w:rsidR="007E71B6" w:rsidRPr="005D550B" w14:paraId="337F3BF6" w14:textId="77777777" w:rsidTr="00D6424B">
        <w:trPr>
          <w:trHeight w:val="20"/>
        </w:trPr>
        <w:tc>
          <w:tcPr>
            <w:tcW w:w="2425" w:type="dxa"/>
            <w:tcBorders>
              <w:top w:val="single" w:sz="4" w:space="0" w:color="FFFFFF"/>
              <w:left w:val="single" w:sz="4" w:space="0" w:color="FFFFFF"/>
              <w:bottom w:val="single" w:sz="4" w:space="0" w:color="FFFFFF"/>
              <w:right w:val="single" w:sz="4" w:space="0" w:color="FFFFFF"/>
            </w:tcBorders>
          </w:tcPr>
          <w:p w14:paraId="58D201B8" w14:textId="1E5EE539" w:rsidR="007E71B6" w:rsidRPr="005D550B" w:rsidRDefault="00C94255" w:rsidP="00D6424B">
            <w:pPr>
              <w:ind w:left="-118"/>
              <w:jc w:val="left"/>
              <w:rPr>
                <w:rFonts w:ascii="Cambria" w:eastAsia="Cambria" w:hAnsi="Cambria" w:cs="Cambria"/>
              </w:rPr>
            </w:pPr>
            <w:r>
              <w:rPr>
                <w:rFonts w:ascii="Cambria" w:eastAsia="Cambria" w:hAnsi="Cambria" w:cs="Cambria"/>
              </w:rPr>
              <w:t>Church</w:t>
            </w:r>
          </w:p>
        </w:tc>
        <w:tc>
          <w:tcPr>
            <w:tcW w:w="1530" w:type="dxa"/>
            <w:tcBorders>
              <w:top w:val="single" w:sz="4" w:space="0" w:color="FFFFFF"/>
              <w:left w:val="single" w:sz="4" w:space="0" w:color="FFFFFF"/>
              <w:bottom w:val="single" w:sz="4" w:space="0" w:color="FFFFFF"/>
              <w:right w:val="single" w:sz="4" w:space="0" w:color="FFFFFF"/>
            </w:tcBorders>
          </w:tcPr>
          <w:p w14:paraId="0B98DD18" w14:textId="50569314" w:rsidR="007E71B6" w:rsidRPr="005D550B" w:rsidRDefault="00AF5978" w:rsidP="00D6424B">
            <w:pPr>
              <w:ind w:left="-118"/>
              <w:jc w:val="left"/>
              <w:rPr>
                <w:rFonts w:ascii="Cambria" w:eastAsia="Cambria" w:hAnsi="Cambria" w:cs="Cambria"/>
              </w:rPr>
            </w:pPr>
            <w:r w:rsidRPr="005D550B">
              <w:rPr>
                <w:rFonts w:ascii="Cambria" w:eastAsia="Cambria" w:hAnsi="Cambria" w:cs="Cambria"/>
              </w:rPr>
              <w:t>5</w:t>
            </w:r>
          </w:p>
        </w:tc>
        <w:tc>
          <w:tcPr>
            <w:tcW w:w="4590" w:type="dxa"/>
            <w:tcBorders>
              <w:top w:val="single" w:sz="4" w:space="0" w:color="FFFFFF"/>
              <w:left w:val="single" w:sz="4" w:space="0" w:color="FFFFFF"/>
              <w:bottom w:val="single" w:sz="4" w:space="0" w:color="FFFFFF"/>
              <w:right w:val="single" w:sz="4" w:space="0" w:color="FFFFFF"/>
            </w:tcBorders>
          </w:tcPr>
          <w:p w14:paraId="02668EC1" w14:textId="09814562" w:rsidR="00AF5978" w:rsidRPr="005D550B" w:rsidRDefault="00AF5978" w:rsidP="00D6424B">
            <w:pPr>
              <w:ind w:left="-118"/>
              <w:jc w:val="left"/>
              <w:rPr>
                <w:rFonts w:ascii="Cambria" w:eastAsia="Cambria" w:hAnsi="Cambria" w:cs="Cambria"/>
              </w:rPr>
            </w:pPr>
            <w:r w:rsidRPr="005D550B">
              <w:rPr>
                <w:rFonts w:ascii="Cambria" w:eastAsia="Cambria" w:hAnsi="Cambria" w:cs="Cambria"/>
              </w:rPr>
              <w:t>None quoted&gt;1</w:t>
            </w:r>
          </w:p>
        </w:tc>
      </w:tr>
      <w:tr w:rsidR="007E71B6" w:rsidRPr="005D550B" w14:paraId="71F74EC5" w14:textId="77777777" w:rsidTr="00D6424B">
        <w:trPr>
          <w:trHeight w:val="20"/>
        </w:trPr>
        <w:tc>
          <w:tcPr>
            <w:tcW w:w="2425" w:type="dxa"/>
            <w:tcBorders>
              <w:top w:val="single" w:sz="4" w:space="0" w:color="FFFFFF"/>
              <w:left w:val="single" w:sz="4" w:space="0" w:color="FFFFFF"/>
              <w:bottom w:val="single" w:sz="4" w:space="0" w:color="FFFFFF"/>
              <w:right w:val="single" w:sz="4" w:space="0" w:color="FFFFFF"/>
            </w:tcBorders>
          </w:tcPr>
          <w:p w14:paraId="332C088A" w14:textId="3BDD934A" w:rsidR="007E71B6" w:rsidRPr="005D550B" w:rsidRDefault="00CC1BD3" w:rsidP="00D6424B">
            <w:pPr>
              <w:ind w:left="-118"/>
              <w:jc w:val="left"/>
              <w:rPr>
                <w:rFonts w:ascii="Cambria" w:eastAsia="Cambria" w:hAnsi="Cambria" w:cs="Cambria"/>
              </w:rPr>
            </w:pPr>
            <w:r>
              <w:rPr>
                <w:rFonts w:ascii="Cambria" w:eastAsia="Cambria" w:hAnsi="Cambria" w:cs="Cambria"/>
              </w:rPr>
              <w:t>Scholars</w:t>
            </w:r>
          </w:p>
        </w:tc>
        <w:tc>
          <w:tcPr>
            <w:tcW w:w="1530" w:type="dxa"/>
            <w:tcBorders>
              <w:top w:val="single" w:sz="4" w:space="0" w:color="FFFFFF"/>
              <w:left w:val="single" w:sz="4" w:space="0" w:color="FFFFFF"/>
              <w:bottom w:val="single" w:sz="4" w:space="0" w:color="FFFFFF"/>
              <w:right w:val="single" w:sz="4" w:space="0" w:color="FFFFFF"/>
            </w:tcBorders>
          </w:tcPr>
          <w:p w14:paraId="3B505B24" w14:textId="0D84F8D7" w:rsidR="007E71B6" w:rsidRPr="005D550B" w:rsidRDefault="00AF5978" w:rsidP="00D6424B">
            <w:pPr>
              <w:ind w:left="-118"/>
              <w:jc w:val="left"/>
              <w:rPr>
                <w:rFonts w:ascii="Cambria" w:eastAsia="Cambria" w:hAnsi="Cambria" w:cs="Cambria"/>
              </w:rPr>
            </w:pPr>
            <w:r w:rsidRPr="005D550B">
              <w:rPr>
                <w:rFonts w:ascii="Cambria" w:eastAsia="Cambria" w:hAnsi="Cambria" w:cs="Cambria"/>
              </w:rPr>
              <w:t>2</w:t>
            </w:r>
          </w:p>
        </w:tc>
        <w:tc>
          <w:tcPr>
            <w:tcW w:w="4590" w:type="dxa"/>
            <w:tcBorders>
              <w:top w:val="single" w:sz="4" w:space="0" w:color="FFFFFF"/>
              <w:left w:val="single" w:sz="4" w:space="0" w:color="FFFFFF"/>
              <w:bottom w:val="single" w:sz="4" w:space="0" w:color="FFFFFF"/>
              <w:right w:val="single" w:sz="4" w:space="0" w:color="FFFFFF"/>
            </w:tcBorders>
          </w:tcPr>
          <w:p w14:paraId="14C55916" w14:textId="3F4F695D" w:rsidR="00AF5978" w:rsidRPr="005D550B" w:rsidRDefault="00AF5978" w:rsidP="00D6424B">
            <w:pPr>
              <w:ind w:left="-118"/>
              <w:jc w:val="left"/>
              <w:rPr>
                <w:rFonts w:ascii="Cambria" w:eastAsia="Cambria" w:hAnsi="Cambria" w:cs="Cambria"/>
              </w:rPr>
            </w:pPr>
            <w:r w:rsidRPr="005D550B">
              <w:rPr>
                <w:rFonts w:ascii="Cambria" w:eastAsia="Cambria" w:hAnsi="Cambria" w:cs="Cambria"/>
              </w:rPr>
              <w:t>None quoted&gt;1</w:t>
            </w:r>
          </w:p>
        </w:tc>
      </w:tr>
      <w:tr w:rsidR="007E71B6" w:rsidRPr="005D550B" w14:paraId="1E097068" w14:textId="77777777" w:rsidTr="00D6424B">
        <w:trPr>
          <w:trHeight w:val="20"/>
        </w:trPr>
        <w:tc>
          <w:tcPr>
            <w:tcW w:w="2425" w:type="dxa"/>
            <w:tcBorders>
              <w:top w:val="single" w:sz="4" w:space="0" w:color="FFFFFF"/>
              <w:left w:val="single" w:sz="4" w:space="0" w:color="FFFFFF"/>
              <w:bottom w:val="single" w:sz="4" w:space="0" w:color="FFFFFF"/>
              <w:right w:val="single" w:sz="4" w:space="0" w:color="FFFFFF"/>
            </w:tcBorders>
          </w:tcPr>
          <w:p w14:paraId="3795DB18" w14:textId="5F28033D" w:rsidR="007E71B6" w:rsidRPr="005D550B" w:rsidRDefault="00CC1BD3" w:rsidP="00D6424B">
            <w:pPr>
              <w:ind w:left="-118"/>
              <w:jc w:val="left"/>
              <w:rPr>
                <w:rFonts w:ascii="Cambria" w:eastAsia="Cambria" w:hAnsi="Cambria" w:cs="Cambria"/>
              </w:rPr>
            </w:pPr>
            <w:r w:rsidRPr="00CC1BD3">
              <w:rPr>
                <w:rFonts w:ascii="Cambria" w:eastAsia="Cambria" w:hAnsi="Cambria" w:cs="Cambria"/>
              </w:rPr>
              <w:t>Authorities</w:t>
            </w:r>
          </w:p>
        </w:tc>
        <w:tc>
          <w:tcPr>
            <w:tcW w:w="1530" w:type="dxa"/>
            <w:tcBorders>
              <w:top w:val="single" w:sz="4" w:space="0" w:color="FFFFFF"/>
              <w:left w:val="single" w:sz="4" w:space="0" w:color="FFFFFF"/>
              <w:bottom w:val="single" w:sz="4" w:space="0" w:color="FFFFFF"/>
              <w:right w:val="single" w:sz="4" w:space="0" w:color="FFFFFF"/>
            </w:tcBorders>
          </w:tcPr>
          <w:p w14:paraId="0B03078E" w14:textId="7F3AFA02" w:rsidR="007E71B6" w:rsidRPr="005D550B" w:rsidRDefault="00AF5978" w:rsidP="00D6424B">
            <w:pPr>
              <w:ind w:left="-118"/>
              <w:jc w:val="left"/>
              <w:rPr>
                <w:rFonts w:ascii="Cambria" w:eastAsia="Cambria" w:hAnsi="Cambria" w:cs="Cambria"/>
              </w:rPr>
            </w:pPr>
            <w:r w:rsidRPr="005D550B">
              <w:rPr>
                <w:rFonts w:ascii="Cambria" w:eastAsia="Cambria" w:hAnsi="Cambria" w:cs="Cambria"/>
              </w:rPr>
              <w:t>2</w:t>
            </w:r>
          </w:p>
        </w:tc>
        <w:tc>
          <w:tcPr>
            <w:tcW w:w="4590" w:type="dxa"/>
            <w:tcBorders>
              <w:top w:val="single" w:sz="4" w:space="0" w:color="FFFFFF"/>
              <w:left w:val="single" w:sz="4" w:space="0" w:color="FFFFFF"/>
              <w:bottom w:val="single" w:sz="4" w:space="0" w:color="FFFFFF"/>
              <w:right w:val="single" w:sz="4" w:space="0" w:color="FFFFFF"/>
            </w:tcBorders>
          </w:tcPr>
          <w:p w14:paraId="0E459247" w14:textId="6489E76E" w:rsidR="00AF5978" w:rsidRPr="005D550B" w:rsidRDefault="00AF5978" w:rsidP="00D6424B">
            <w:pPr>
              <w:ind w:left="-118"/>
              <w:jc w:val="left"/>
              <w:rPr>
                <w:rFonts w:ascii="Cambria" w:eastAsia="Cambria" w:hAnsi="Cambria" w:cs="Cambria"/>
              </w:rPr>
            </w:pPr>
            <w:r w:rsidRPr="005D550B">
              <w:rPr>
                <w:rFonts w:ascii="Cambria" w:eastAsia="Cambria" w:hAnsi="Cambria" w:cs="Cambria"/>
              </w:rPr>
              <w:t>None quoted&gt;1</w:t>
            </w:r>
          </w:p>
        </w:tc>
      </w:tr>
      <w:tr w:rsidR="007E71B6" w:rsidRPr="005D550B" w14:paraId="37F22CE4" w14:textId="77777777" w:rsidTr="00D6424B">
        <w:trPr>
          <w:trHeight w:val="20"/>
        </w:trPr>
        <w:tc>
          <w:tcPr>
            <w:tcW w:w="2425" w:type="dxa"/>
            <w:tcBorders>
              <w:top w:val="single" w:sz="4" w:space="0" w:color="FFFFFF"/>
              <w:left w:val="single" w:sz="4" w:space="0" w:color="FFFFFF"/>
              <w:bottom w:val="single" w:sz="4" w:space="0" w:color="000000"/>
              <w:right w:val="single" w:sz="4" w:space="0" w:color="FFFFFF"/>
            </w:tcBorders>
          </w:tcPr>
          <w:p w14:paraId="7C87B425" w14:textId="355613D6" w:rsidR="007E71B6" w:rsidRPr="005D550B" w:rsidRDefault="00E97FCE" w:rsidP="00D6424B">
            <w:pPr>
              <w:ind w:left="-118"/>
              <w:jc w:val="left"/>
              <w:rPr>
                <w:rFonts w:ascii="Cambria" w:eastAsia="Cambria" w:hAnsi="Cambria" w:cs="Cambria"/>
              </w:rPr>
            </w:pPr>
            <w:r w:rsidRPr="00E97FCE">
              <w:rPr>
                <w:rFonts w:ascii="Cambria" w:eastAsia="Cambria" w:hAnsi="Cambria" w:cs="Cambria"/>
              </w:rPr>
              <w:t>Government agencies</w:t>
            </w:r>
          </w:p>
        </w:tc>
        <w:tc>
          <w:tcPr>
            <w:tcW w:w="1530" w:type="dxa"/>
            <w:tcBorders>
              <w:top w:val="single" w:sz="4" w:space="0" w:color="FFFFFF"/>
              <w:left w:val="single" w:sz="4" w:space="0" w:color="FFFFFF"/>
              <w:bottom w:val="single" w:sz="4" w:space="0" w:color="000000"/>
              <w:right w:val="single" w:sz="4" w:space="0" w:color="FFFFFF"/>
            </w:tcBorders>
          </w:tcPr>
          <w:p w14:paraId="7D16F21D" w14:textId="126AB472" w:rsidR="007E71B6" w:rsidRPr="005D550B" w:rsidRDefault="00AF5978" w:rsidP="00D6424B">
            <w:pPr>
              <w:ind w:left="-118"/>
              <w:jc w:val="left"/>
              <w:rPr>
                <w:rFonts w:ascii="Cambria" w:eastAsia="Cambria" w:hAnsi="Cambria" w:cs="Cambria"/>
              </w:rPr>
            </w:pPr>
            <w:r w:rsidRPr="005D550B">
              <w:rPr>
                <w:rFonts w:ascii="Cambria" w:eastAsia="Cambria" w:hAnsi="Cambria" w:cs="Cambria"/>
              </w:rPr>
              <w:t>1</w:t>
            </w:r>
          </w:p>
        </w:tc>
        <w:tc>
          <w:tcPr>
            <w:tcW w:w="4590" w:type="dxa"/>
            <w:tcBorders>
              <w:top w:val="single" w:sz="4" w:space="0" w:color="FFFFFF"/>
              <w:left w:val="single" w:sz="4" w:space="0" w:color="FFFFFF"/>
              <w:bottom w:val="single" w:sz="4" w:space="0" w:color="000000"/>
              <w:right w:val="single" w:sz="4" w:space="0" w:color="FFFFFF"/>
            </w:tcBorders>
          </w:tcPr>
          <w:p w14:paraId="74533A58" w14:textId="5A7C532A" w:rsidR="007E71B6" w:rsidRPr="005D550B" w:rsidRDefault="00AF5978" w:rsidP="00D6424B">
            <w:pPr>
              <w:ind w:left="-118"/>
              <w:jc w:val="left"/>
              <w:rPr>
                <w:rFonts w:ascii="Cambria" w:eastAsia="Cambria" w:hAnsi="Cambria" w:cs="Cambria"/>
              </w:rPr>
            </w:pPr>
            <w:r w:rsidRPr="005D550B">
              <w:rPr>
                <w:rFonts w:ascii="Cambria" w:eastAsia="Cambria" w:hAnsi="Cambria" w:cs="Cambria"/>
              </w:rPr>
              <w:t>None quoted&gt;1</w:t>
            </w:r>
          </w:p>
        </w:tc>
      </w:tr>
    </w:tbl>
    <w:p w14:paraId="47C48360" w14:textId="77777777" w:rsidR="00CC1BD3" w:rsidRPr="005D550B" w:rsidRDefault="00CC1BD3" w:rsidP="00B555C8">
      <w:pPr>
        <w:pBdr>
          <w:top w:val="nil"/>
          <w:left w:val="nil"/>
          <w:bottom w:val="nil"/>
          <w:right w:val="nil"/>
          <w:between w:val="nil"/>
        </w:pBdr>
        <w:rPr>
          <w:rFonts w:ascii="Cambria" w:eastAsia="Cambria" w:hAnsi="Cambria" w:cs="Cambria"/>
          <w:sz w:val="22"/>
          <w:szCs w:val="22"/>
        </w:rPr>
      </w:pPr>
    </w:p>
    <w:p w14:paraId="3445EBBC" w14:textId="02AB32BF" w:rsidR="00AF5978" w:rsidRPr="005D550B" w:rsidRDefault="00AF5978"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"Dominant source person" refers exclusively to individuals most frequently cited in media reports, representing the intensity of their appearance, rather than serving as a representation of an actor's structural power hierarchy. The case of </w:t>
      </w:r>
      <w:r w:rsidR="00E9016C" w:rsidRPr="00E9016C">
        <w:rPr>
          <w:rFonts w:ascii="Cambria" w:eastAsia="Cambria" w:hAnsi="Cambria" w:cs="Cambria"/>
          <w:sz w:val="22"/>
          <w:szCs w:val="22"/>
        </w:rPr>
        <w:t xml:space="preserve">customary areas of </w:t>
      </w:r>
      <w:proofErr w:type="spellStart"/>
      <w:r w:rsidRPr="005D550B">
        <w:rPr>
          <w:rFonts w:ascii="Cambria" w:eastAsia="Cambria" w:hAnsi="Cambria" w:cs="Cambria"/>
          <w:sz w:val="22"/>
          <w:szCs w:val="22"/>
        </w:rPr>
        <w:t>Nua</w:t>
      </w:r>
      <w:proofErr w:type="spellEnd"/>
      <w:r w:rsidRPr="005D550B">
        <w:rPr>
          <w:rFonts w:ascii="Cambria" w:eastAsia="Cambria" w:hAnsi="Cambria" w:cs="Cambria"/>
          <w:sz w:val="22"/>
          <w:szCs w:val="22"/>
        </w:rPr>
        <w:t xml:space="preserve"> Saga functions as the empirical hinge where the spatial and discursive layers of this study meet on a single coordinate. Spatially, the GIS intersection establishes the starkest possible geometry of enclosure: the entire 583,56 hectares of </w:t>
      </w:r>
      <w:proofErr w:type="spellStart"/>
      <w:r w:rsidRPr="005D550B">
        <w:rPr>
          <w:rFonts w:ascii="Cambria" w:eastAsia="Cambria" w:hAnsi="Cambria" w:cs="Cambria"/>
          <w:sz w:val="22"/>
          <w:szCs w:val="22"/>
        </w:rPr>
        <w:t>Nua</w:t>
      </w:r>
      <w:proofErr w:type="spellEnd"/>
      <w:r w:rsidRPr="005D550B">
        <w:rPr>
          <w:rFonts w:ascii="Cambria" w:eastAsia="Cambria" w:hAnsi="Cambria" w:cs="Cambria"/>
          <w:sz w:val="22"/>
          <w:szCs w:val="22"/>
        </w:rPr>
        <w:t xml:space="preserve"> Saga are engulfed by the WKP </w:t>
      </w:r>
      <w:proofErr w:type="spellStart"/>
      <w:r w:rsidRPr="005D550B">
        <w:rPr>
          <w:rFonts w:ascii="Cambria" w:eastAsia="Cambria" w:hAnsi="Cambria" w:cs="Cambria"/>
          <w:sz w:val="22"/>
          <w:szCs w:val="22"/>
        </w:rPr>
        <w:t>Sokoria</w:t>
      </w:r>
      <w:proofErr w:type="spellEnd"/>
      <w:r w:rsidRPr="005D550B">
        <w:rPr>
          <w:rFonts w:ascii="Cambria" w:eastAsia="Cambria" w:hAnsi="Cambria" w:cs="Cambria"/>
          <w:sz w:val="22"/>
          <w:szCs w:val="22"/>
        </w:rPr>
        <w:t xml:space="preserve"> concession (Fig</w:t>
      </w:r>
      <w:r w:rsidR="00B80968" w:rsidRPr="005D550B">
        <w:rPr>
          <w:rFonts w:ascii="Cambria" w:eastAsia="Cambria" w:hAnsi="Cambria" w:cs="Cambria"/>
          <w:sz w:val="22"/>
          <w:szCs w:val="22"/>
        </w:rPr>
        <w:t>. 2</w:t>
      </w:r>
      <w:r w:rsidRPr="005D550B">
        <w:rPr>
          <w:rFonts w:ascii="Cambria" w:eastAsia="Cambria" w:hAnsi="Cambria" w:cs="Cambria"/>
          <w:sz w:val="22"/>
          <w:szCs w:val="22"/>
        </w:rPr>
        <w:t xml:space="preserve">). Critically, </w:t>
      </w:r>
      <w:proofErr w:type="spellStart"/>
      <w:r w:rsidRPr="005D550B">
        <w:rPr>
          <w:rFonts w:ascii="Cambria" w:eastAsia="Cambria" w:hAnsi="Cambria" w:cs="Cambria"/>
          <w:sz w:val="22"/>
          <w:szCs w:val="22"/>
        </w:rPr>
        <w:t>Nua</w:t>
      </w:r>
      <w:proofErr w:type="spellEnd"/>
      <w:r w:rsidRPr="005D550B">
        <w:rPr>
          <w:rFonts w:ascii="Cambria" w:eastAsia="Cambria" w:hAnsi="Cambria" w:cs="Cambria"/>
          <w:sz w:val="22"/>
          <w:szCs w:val="22"/>
        </w:rPr>
        <w:t xml:space="preserve"> Saga already holds verified status under BRWA, yet this recognition coexists with total spatial override, a demonstration of formal recognition without functional protection. This spatial finding does not stand alone; it is corroborated by a measurable concentration in the discursive record rather than a loose thematic association. Of the 18 "FPIC Violation" quotations coded across the entire island, 7 (almost 39%) are from two reports addressing PLTP </w:t>
      </w:r>
      <w:proofErr w:type="spellStart"/>
      <w:r w:rsidRPr="005D550B">
        <w:rPr>
          <w:rFonts w:ascii="Cambria" w:eastAsia="Cambria" w:hAnsi="Cambria" w:cs="Cambria"/>
          <w:sz w:val="22"/>
          <w:szCs w:val="22"/>
        </w:rPr>
        <w:t>Sokoria</w:t>
      </w:r>
      <w:proofErr w:type="spellEnd"/>
      <w:r w:rsidRPr="005D550B">
        <w:rPr>
          <w:rFonts w:ascii="Cambria" w:eastAsia="Cambria" w:hAnsi="Cambria" w:cs="Cambria"/>
          <w:sz w:val="22"/>
          <w:szCs w:val="22"/>
        </w:rPr>
        <w:t xml:space="preserve"> and </w:t>
      </w:r>
      <w:proofErr w:type="spellStart"/>
      <w:r w:rsidRPr="005D550B">
        <w:rPr>
          <w:rFonts w:ascii="Cambria" w:eastAsia="Cambria" w:hAnsi="Cambria" w:cs="Cambria"/>
          <w:sz w:val="22"/>
          <w:szCs w:val="22"/>
        </w:rPr>
        <w:t>Nua</w:t>
      </w:r>
      <w:proofErr w:type="spellEnd"/>
      <w:r w:rsidRPr="005D550B">
        <w:rPr>
          <w:rFonts w:ascii="Cambria" w:eastAsia="Cambria" w:hAnsi="Cambria" w:cs="Cambria"/>
          <w:sz w:val="22"/>
          <w:szCs w:val="22"/>
        </w:rPr>
        <w:t xml:space="preserve"> Saga specifically. This is a disproportionate clustering: a single WKP accounts for a substantial share of all procedural-exclusion discourse documented across six concessions. The spatial finding (a customary polygon fully absorbed into a concession) and the discursive finding (the densest single cluster of FPIC-violation accounts on the island) therefore point to the same site through two independent data streams. This co-location is what elevates the claim from correlation to a traceable mechanism: where enclosure is spatially absolute, accounts of manufactured consent are also densest, confirming what (Buku et al., 2025) identify as FPIC reduction to a mere checklist box, without transparent, inclusive, and culturally grounded process.</w:t>
      </w:r>
      <w:r w:rsidR="008D5404" w:rsidRPr="005D550B">
        <w:rPr>
          <w:rFonts w:ascii="Cambria" w:eastAsia="Cambria" w:hAnsi="Cambria" w:cs="Cambria"/>
          <w:sz w:val="22"/>
          <w:szCs w:val="22"/>
        </w:rPr>
        <w:t xml:space="preserve"> Based on the integration of quantitative-spatial data and secondary-qualitative analysis, the findings are evaluated through three core Political Ecology theses; Conservation and Control, Environmental Conflict and Exclusion, and Formation of Environmental Subjects.</w:t>
      </w:r>
    </w:p>
    <w:p w14:paraId="568B1277" w14:textId="2D60DFB9" w:rsidR="004866CF"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Conservation and </w:t>
      </w:r>
      <w:r w:rsidR="00D6424B" w:rsidRPr="005D550B">
        <w:rPr>
          <w:rFonts w:ascii="Cambria" w:eastAsia="Cambria" w:hAnsi="Cambria" w:cs="Cambria"/>
          <w:sz w:val="22"/>
          <w:szCs w:val="22"/>
        </w:rPr>
        <w:t>c</w:t>
      </w:r>
      <w:r w:rsidRPr="005D550B">
        <w:rPr>
          <w:rFonts w:ascii="Cambria" w:eastAsia="Cambria" w:hAnsi="Cambria" w:cs="Cambria"/>
          <w:sz w:val="22"/>
          <w:szCs w:val="22"/>
        </w:rPr>
        <w:t>ontrol</w:t>
      </w:r>
      <w:r w:rsidR="00D6424B" w:rsidRPr="005D550B">
        <w:rPr>
          <w:rFonts w:ascii="Cambria" w:eastAsia="Cambria" w:hAnsi="Cambria" w:cs="Cambria"/>
          <w:sz w:val="22"/>
          <w:szCs w:val="22"/>
        </w:rPr>
        <w:t>, t</w:t>
      </w:r>
      <w:r w:rsidRPr="005D550B">
        <w:rPr>
          <w:rFonts w:ascii="Cambria" w:eastAsia="Cambria" w:hAnsi="Cambria" w:cs="Cambria"/>
          <w:sz w:val="22"/>
          <w:szCs w:val="22"/>
        </w:rPr>
        <w:t xml:space="preserve">he designation of Flores as </w:t>
      </w:r>
      <w:r w:rsidRPr="00CA410E">
        <w:rPr>
          <w:rFonts w:ascii="Cambria" w:eastAsia="Cambria" w:hAnsi="Cambria" w:cs="Cambria"/>
          <w:i/>
          <w:iCs/>
          <w:sz w:val="22"/>
          <w:szCs w:val="22"/>
        </w:rPr>
        <w:t>Pulau Panas Bumi</w:t>
      </w:r>
      <w:r w:rsidRPr="005D550B">
        <w:rPr>
          <w:rFonts w:ascii="Cambria" w:eastAsia="Cambria" w:hAnsi="Cambria" w:cs="Cambria"/>
          <w:sz w:val="22"/>
          <w:szCs w:val="22"/>
        </w:rPr>
        <w:t xml:space="preserve"> is a </w:t>
      </w:r>
      <w:r w:rsidR="00D6424B" w:rsidRPr="005D550B">
        <w:rPr>
          <w:rFonts w:ascii="Cambria" w:eastAsia="Cambria" w:hAnsi="Cambria" w:cs="Cambria"/>
          <w:sz w:val="22"/>
          <w:szCs w:val="22"/>
        </w:rPr>
        <w:t>conservation effort</w:t>
      </w:r>
      <w:r w:rsidRPr="005D550B">
        <w:rPr>
          <w:rFonts w:ascii="Cambria" w:eastAsia="Cambria" w:hAnsi="Cambria" w:cs="Cambria"/>
          <w:sz w:val="22"/>
          <w:szCs w:val="22"/>
        </w:rPr>
        <w:t xml:space="preserve"> (translated to legitimacy quotes found on the article analysis) framed as a benign stride (Robbins, 2012). The projects </w:t>
      </w:r>
      <w:r w:rsidR="00D6424B" w:rsidRPr="005D550B">
        <w:rPr>
          <w:rFonts w:ascii="Cambria" w:eastAsia="Cambria" w:hAnsi="Cambria" w:cs="Cambria"/>
          <w:sz w:val="22"/>
          <w:szCs w:val="22"/>
        </w:rPr>
        <w:t>exist</w:t>
      </w:r>
      <w:r w:rsidRPr="005D550B">
        <w:rPr>
          <w:rFonts w:ascii="Cambria" w:eastAsia="Cambria" w:hAnsi="Cambria" w:cs="Cambria"/>
          <w:sz w:val="22"/>
          <w:szCs w:val="22"/>
        </w:rPr>
        <w:t xml:space="preserve"> as instruments decarbonization, national and regional energy security, international mandates. Most importantly environmentally friendly initiatives, carefully avoiding the label of resource extraction. Across the 65 “Legitimacy,” repeatedly exert justification of territorial control within the language of environmental and developmental </w:t>
      </w:r>
      <w:proofErr w:type="spellStart"/>
      <w:r w:rsidRPr="005D550B">
        <w:rPr>
          <w:rFonts w:ascii="Cambria" w:eastAsia="Cambria" w:hAnsi="Cambria" w:cs="Cambria"/>
          <w:sz w:val="22"/>
          <w:szCs w:val="22"/>
        </w:rPr>
        <w:t>responsibilty</w:t>
      </w:r>
      <w:proofErr w:type="spellEnd"/>
      <w:r w:rsidRPr="005D550B">
        <w:rPr>
          <w:rFonts w:ascii="Cambria" w:eastAsia="Cambria" w:hAnsi="Cambria" w:cs="Cambria"/>
          <w:sz w:val="22"/>
          <w:szCs w:val="22"/>
        </w:rPr>
        <w:t>. This framing narrates the designation of each WKP as a non-negotiable national interest and automatically delegitimizes any grassroots opposition as irrational or anti-development (Arifah et al., 2024; Strakosch, 2014). This reflects a broader pattern within energy transition efforts of the Global South, where resource capture as is rebranded as ecological progress, ultimately establishing a form of green colonialism (</w:t>
      </w:r>
      <w:proofErr w:type="spellStart"/>
      <w:r w:rsidRPr="005D550B">
        <w:rPr>
          <w:rFonts w:ascii="Cambria" w:eastAsia="Cambria" w:hAnsi="Cambria" w:cs="Cambria"/>
          <w:sz w:val="22"/>
          <w:szCs w:val="22"/>
        </w:rPr>
        <w:t>Hamouchene</w:t>
      </w:r>
      <w:proofErr w:type="spellEnd"/>
      <w:r w:rsidRPr="005D550B">
        <w:rPr>
          <w:rFonts w:ascii="Cambria" w:eastAsia="Cambria" w:hAnsi="Cambria" w:cs="Cambria"/>
          <w:sz w:val="22"/>
          <w:szCs w:val="22"/>
        </w:rPr>
        <w:t>, 2023). Whether manifested through clean energy project (Dorn, 2022; Sud, 2025), nature-based solution project (Brockhaus et al., 2025; Portugal-Pereira et al., 2025), or the expansion of nickel mining to support electric vehicle battery production (Astuti et al., 2025), the underlying extractive logic remains.</w:t>
      </w:r>
    </w:p>
    <w:p w14:paraId="585E3B1A" w14:textId="0A00CA48"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lastRenderedPageBreak/>
        <w:t>Environmental</w:t>
      </w:r>
      <w:r w:rsidRPr="005D550B">
        <w:rPr>
          <w:rFonts w:ascii="Cambria" w:eastAsia="Cambria" w:hAnsi="Cambria" w:cs="Cambria"/>
          <w:b/>
          <w:bCs/>
          <w:sz w:val="22"/>
          <w:szCs w:val="22"/>
        </w:rPr>
        <w:t xml:space="preserve"> </w:t>
      </w:r>
      <w:r w:rsidR="00D6424B" w:rsidRPr="005D550B">
        <w:rPr>
          <w:rFonts w:ascii="Cambria" w:eastAsia="Cambria" w:hAnsi="Cambria" w:cs="Cambria"/>
          <w:sz w:val="22"/>
          <w:szCs w:val="22"/>
        </w:rPr>
        <w:t xml:space="preserve">conflict and exclusion, while </w:t>
      </w:r>
      <w:r w:rsidRPr="005D550B">
        <w:rPr>
          <w:rFonts w:ascii="Cambria" w:eastAsia="Cambria" w:hAnsi="Cambria" w:cs="Cambria"/>
          <w:sz w:val="22"/>
          <w:szCs w:val="22"/>
        </w:rPr>
        <w:t xml:space="preserve">previously mentioned theses explain the narratives of </w:t>
      </w:r>
      <w:proofErr w:type="spellStart"/>
      <w:r w:rsidRPr="005D550B">
        <w:rPr>
          <w:rFonts w:ascii="Cambria" w:eastAsia="Cambria" w:hAnsi="Cambria" w:cs="Cambria"/>
          <w:sz w:val="22"/>
          <w:szCs w:val="22"/>
        </w:rPr>
        <w:t>legitimazion</w:t>
      </w:r>
      <w:proofErr w:type="spellEnd"/>
      <w:r w:rsidRPr="005D550B">
        <w:rPr>
          <w:rFonts w:ascii="Cambria" w:eastAsia="Cambria" w:hAnsi="Cambria" w:cs="Cambria"/>
          <w:sz w:val="22"/>
          <w:szCs w:val="22"/>
        </w:rPr>
        <w:t>, the Environmental Conflict and Exclusion expose the “concrete” and material consequences. As defined by (Robbins,</w:t>
      </w:r>
      <w:r w:rsidR="00D6424B" w:rsidRPr="005D550B">
        <w:rPr>
          <w:rFonts w:ascii="Cambria" w:eastAsia="Cambria" w:hAnsi="Cambria" w:cs="Cambria"/>
          <w:sz w:val="22"/>
          <w:szCs w:val="22"/>
        </w:rPr>
        <w:t xml:space="preserve"> </w:t>
      </w:r>
      <w:r w:rsidRPr="005D550B">
        <w:rPr>
          <w:rFonts w:ascii="Cambria" w:eastAsia="Cambria" w:hAnsi="Cambria" w:cs="Cambria"/>
          <w:sz w:val="22"/>
          <w:szCs w:val="22"/>
        </w:rPr>
        <w:t xml:space="preserve">2012), it </w:t>
      </w:r>
      <w:proofErr w:type="spellStart"/>
      <w:proofErr w:type="gramStart"/>
      <w:r w:rsidRPr="005D550B">
        <w:rPr>
          <w:rFonts w:ascii="Cambria" w:eastAsia="Cambria" w:hAnsi="Cambria" w:cs="Cambria"/>
          <w:sz w:val="22"/>
          <w:szCs w:val="22"/>
        </w:rPr>
        <w:t>analyse</w:t>
      </w:r>
      <w:proofErr w:type="spellEnd"/>
      <w:proofErr w:type="gramEnd"/>
      <w:r w:rsidRPr="005D550B">
        <w:rPr>
          <w:rFonts w:ascii="Cambria" w:eastAsia="Cambria" w:hAnsi="Cambria" w:cs="Cambria"/>
          <w:sz w:val="22"/>
          <w:szCs w:val="22"/>
        </w:rPr>
        <w:t xml:space="preserve"> how resource enclosure by state authorities accelerates conflict between social groups through restriction of </w:t>
      </w:r>
      <w:proofErr w:type="spellStart"/>
      <w:r w:rsidRPr="005D550B">
        <w:rPr>
          <w:rFonts w:ascii="Cambria" w:eastAsia="Cambria" w:hAnsi="Cambria" w:cs="Cambria"/>
          <w:sz w:val="22"/>
          <w:szCs w:val="22"/>
        </w:rPr>
        <w:t>acces</w:t>
      </w:r>
      <w:proofErr w:type="spellEnd"/>
      <w:r w:rsidRPr="005D550B">
        <w:rPr>
          <w:rFonts w:ascii="Cambria" w:eastAsia="Cambria" w:hAnsi="Cambria" w:cs="Cambria"/>
          <w:sz w:val="22"/>
          <w:szCs w:val="22"/>
        </w:rPr>
        <w:t xml:space="preserve"> to shared ecological system. The spatial finding from the map analysis provides empirical evidence of this process. The 6 WKP concessions across Flores overlap with 18 critical watersheds in a semi-arid landscape, where agricultural livelihoods are structurally dependent on hydrological integrity, both in terms of its quality or quantity (Harto &amp; Clark, 2012; </w:t>
      </w:r>
      <w:proofErr w:type="spellStart"/>
      <w:r w:rsidRPr="005D550B">
        <w:rPr>
          <w:rFonts w:ascii="Cambria" w:eastAsia="Cambria" w:hAnsi="Cambria" w:cs="Cambria"/>
          <w:sz w:val="22"/>
          <w:szCs w:val="22"/>
        </w:rPr>
        <w:t>Silalahi</w:t>
      </w:r>
      <w:proofErr w:type="spellEnd"/>
      <w:r w:rsidRPr="005D550B">
        <w:rPr>
          <w:rFonts w:ascii="Cambria" w:eastAsia="Cambria" w:hAnsi="Cambria" w:cs="Cambria"/>
          <w:sz w:val="22"/>
          <w:szCs w:val="22"/>
        </w:rPr>
        <w:t xml:space="preserve"> et al., 2024). When the intensive-water infrastructure like geothermal power plant built and occupies the upper catchment of these DAS, it will degrade the environment, doing slow violence; gradually, out of sight, delayed destruction (Nixon, 2011). On top of that, </w:t>
      </w:r>
      <w:proofErr w:type="spellStart"/>
      <w:r w:rsidRPr="005D550B">
        <w:rPr>
          <w:rFonts w:ascii="Cambria" w:eastAsia="Cambria" w:hAnsi="Cambria" w:cs="Cambria"/>
          <w:sz w:val="22"/>
          <w:szCs w:val="22"/>
        </w:rPr>
        <w:t>indigeous</w:t>
      </w:r>
      <w:proofErr w:type="spellEnd"/>
      <w:r w:rsidRPr="005D550B">
        <w:rPr>
          <w:rFonts w:ascii="Cambria" w:eastAsia="Cambria" w:hAnsi="Cambria" w:cs="Cambria"/>
          <w:sz w:val="22"/>
          <w:szCs w:val="22"/>
        </w:rPr>
        <w:t xml:space="preserve"> </w:t>
      </w:r>
      <w:proofErr w:type="spellStart"/>
      <w:r w:rsidRPr="005D550B">
        <w:rPr>
          <w:rFonts w:ascii="Cambria" w:eastAsia="Cambria" w:hAnsi="Cambria" w:cs="Cambria"/>
          <w:sz w:val="22"/>
          <w:szCs w:val="22"/>
        </w:rPr>
        <w:t>teritorial</w:t>
      </w:r>
      <w:proofErr w:type="spellEnd"/>
      <w:r w:rsidRPr="005D550B">
        <w:rPr>
          <w:rFonts w:ascii="Cambria" w:eastAsia="Cambria" w:hAnsi="Cambria" w:cs="Cambria"/>
          <w:sz w:val="22"/>
          <w:szCs w:val="22"/>
        </w:rPr>
        <w:t xml:space="preserve"> exclusion also found in the process of this energy transition. WKP </w:t>
      </w:r>
      <w:proofErr w:type="spellStart"/>
      <w:r w:rsidRPr="005D550B">
        <w:rPr>
          <w:rFonts w:ascii="Cambria" w:eastAsia="Cambria" w:hAnsi="Cambria" w:cs="Cambria"/>
          <w:sz w:val="22"/>
          <w:szCs w:val="22"/>
        </w:rPr>
        <w:t>Sokoria</w:t>
      </w:r>
      <w:proofErr w:type="spellEnd"/>
      <w:r w:rsidRPr="005D550B">
        <w:rPr>
          <w:rFonts w:ascii="Cambria" w:eastAsia="Cambria" w:hAnsi="Cambria" w:cs="Cambria"/>
          <w:sz w:val="22"/>
          <w:szCs w:val="22"/>
        </w:rPr>
        <w:t xml:space="preserve"> engulfs </w:t>
      </w:r>
      <w:r w:rsidR="00E9016C" w:rsidRPr="00E9016C">
        <w:rPr>
          <w:rFonts w:ascii="Cambria" w:eastAsia="Cambria" w:hAnsi="Cambria" w:cs="Cambria"/>
          <w:sz w:val="22"/>
          <w:szCs w:val="22"/>
        </w:rPr>
        <w:t xml:space="preserve">customary areas of </w:t>
      </w:r>
      <w:proofErr w:type="spellStart"/>
      <w:r w:rsidRPr="005D550B">
        <w:rPr>
          <w:rFonts w:ascii="Cambria" w:eastAsia="Cambria" w:hAnsi="Cambria" w:cs="Cambria"/>
          <w:sz w:val="22"/>
          <w:szCs w:val="22"/>
        </w:rPr>
        <w:t>Nua</w:t>
      </w:r>
      <w:proofErr w:type="spellEnd"/>
      <w:r w:rsidRPr="005D550B">
        <w:rPr>
          <w:rFonts w:ascii="Cambria" w:eastAsia="Cambria" w:hAnsi="Cambria" w:cs="Cambria"/>
          <w:sz w:val="22"/>
          <w:szCs w:val="22"/>
        </w:rPr>
        <w:t xml:space="preserve"> Saga (583,56 ha), while WKP Oka Ile Ange encroaches upon more than half of </w:t>
      </w:r>
      <w:r w:rsidR="00E9016C" w:rsidRPr="00E9016C">
        <w:rPr>
          <w:rFonts w:ascii="Cambria" w:eastAsia="Cambria" w:hAnsi="Cambria" w:cs="Cambria"/>
          <w:sz w:val="22"/>
          <w:szCs w:val="22"/>
        </w:rPr>
        <w:t xml:space="preserve">customary areas of </w:t>
      </w:r>
      <w:proofErr w:type="spellStart"/>
      <w:r w:rsidRPr="005D550B">
        <w:rPr>
          <w:rFonts w:ascii="Cambria" w:eastAsia="Cambria" w:hAnsi="Cambria" w:cs="Cambria"/>
          <w:sz w:val="22"/>
          <w:szCs w:val="22"/>
        </w:rPr>
        <w:t>Lewolema</w:t>
      </w:r>
      <w:proofErr w:type="spellEnd"/>
      <w:r w:rsidRPr="005D550B">
        <w:rPr>
          <w:rFonts w:ascii="Cambria" w:eastAsia="Cambria" w:hAnsi="Cambria" w:cs="Cambria"/>
          <w:sz w:val="22"/>
          <w:szCs w:val="22"/>
        </w:rPr>
        <w:t xml:space="preserve"> (4.729,91 ha of 9.262,80 ha). Alarmingly, </w:t>
      </w:r>
      <w:proofErr w:type="spellStart"/>
      <w:r w:rsidRPr="005D550B">
        <w:rPr>
          <w:rFonts w:ascii="Cambria" w:eastAsia="Cambria" w:hAnsi="Cambria" w:cs="Cambria"/>
          <w:sz w:val="22"/>
          <w:szCs w:val="22"/>
        </w:rPr>
        <w:t>Nua</w:t>
      </w:r>
      <w:proofErr w:type="spellEnd"/>
      <w:r w:rsidRPr="005D550B">
        <w:rPr>
          <w:rFonts w:ascii="Cambria" w:eastAsia="Cambria" w:hAnsi="Cambria" w:cs="Cambria"/>
          <w:sz w:val="22"/>
          <w:szCs w:val="22"/>
        </w:rPr>
        <w:t xml:space="preserve"> Saga already at verified status under BRWA recognition, yet it remains entirely </w:t>
      </w:r>
      <w:proofErr w:type="spellStart"/>
      <w:r w:rsidRPr="005D550B">
        <w:rPr>
          <w:rFonts w:ascii="Cambria" w:eastAsia="Cambria" w:hAnsi="Cambria" w:cs="Cambria"/>
          <w:sz w:val="22"/>
          <w:szCs w:val="22"/>
        </w:rPr>
        <w:t>overriden</w:t>
      </w:r>
      <w:proofErr w:type="spellEnd"/>
      <w:r w:rsidRPr="005D550B">
        <w:rPr>
          <w:rFonts w:ascii="Cambria" w:eastAsia="Cambria" w:hAnsi="Cambria" w:cs="Cambria"/>
          <w:sz w:val="22"/>
          <w:szCs w:val="22"/>
        </w:rPr>
        <w:t xml:space="preserve"> by WKP </w:t>
      </w:r>
      <w:proofErr w:type="spellStart"/>
      <w:r w:rsidRPr="005D550B">
        <w:rPr>
          <w:rFonts w:ascii="Cambria" w:eastAsia="Cambria" w:hAnsi="Cambria" w:cs="Cambria"/>
          <w:sz w:val="22"/>
          <w:szCs w:val="22"/>
        </w:rPr>
        <w:t>Sokoria</w:t>
      </w:r>
      <w:proofErr w:type="spellEnd"/>
      <w:r w:rsidRPr="005D550B">
        <w:rPr>
          <w:rFonts w:ascii="Cambria" w:eastAsia="Cambria" w:hAnsi="Cambria" w:cs="Cambria"/>
          <w:sz w:val="22"/>
          <w:szCs w:val="22"/>
        </w:rPr>
        <w:t xml:space="preserve">, which show the reality of formal recognition yet no functional protection. (Buku et al., 2025) found that the FPIC process done are formalities without substantial implementation. It also reflected on the 18 “FPIC Violation” and 9 “Repression” quotes, which confirm when this procedural and state-backed exclusion is challenged, coercive state mechanism is </w:t>
      </w:r>
      <w:proofErr w:type="spellStart"/>
      <w:r w:rsidRPr="005D550B">
        <w:rPr>
          <w:rFonts w:ascii="Cambria" w:eastAsia="Cambria" w:hAnsi="Cambria" w:cs="Cambria"/>
          <w:sz w:val="22"/>
          <w:szCs w:val="22"/>
        </w:rPr>
        <w:t>streched</w:t>
      </w:r>
      <w:proofErr w:type="spellEnd"/>
      <w:r w:rsidRPr="005D550B">
        <w:rPr>
          <w:rFonts w:ascii="Cambria" w:eastAsia="Cambria" w:hAnsi="Cambria" w:cs="Cambria"/>
          <w:sz w:val="22"/>
          <w:szCs w:val="22"/>
        </w:rPr>
        <w:t xml:space="preserve"> to enforce the “legitimate” project enforcement.</w:t>
      </w:r>
    </w:p>
    <w:p w14:paraId="447DA98F" w14:textId="3D9337A8"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Formation of </w:t>
      </w:r>
      <w:r w:rsidR="00D6424B" w:rsidRPr="005D550B">
        <w:rPr>
          <w:rFonts w:ascii="Cambria" w:eastAsia="Cambria" w:hAnsi="Cambria" w:cs="Cambria"/>
          <w:sz w:val="22"/>
          <w:szCs w:val="22"/>
        </w:rPr>
        <w:t xml:space="preserve">environmental subjects, environmental </w:t>
      </w:r>
      <w:r w:rsidRPr="005D550B">
        <w:rPr>
          <w:rFonts w:ascii="Cambria" w:eastAsia="Cambria" w:hAnsi="Cambria" w:cs="Cambria"/>
          <w:sz w:val="22"/>
          <w:szCs w:val="22"/>
        </w:rPr>
        <w:t>crises actively produce new environmental subjects: communities whose political identities transform as they defend their ecosystems. Empirical evidence for this is captured in the thematic analysis of "Resistance." In stark contrast to the centralized government discourse, community resistance narratives (comprising 29 distinct quotes) are profoundly organic, decentralized, and sporadic. The absence of a single dominant figure demonstrates that this grassroots resistance is not a politically engineered movement orchestrated by specific group, interests, or elites, but rather a collective ecological reaction. Their counter-narratives focus intensely on tangible threats: the loss of water sources, agricultural failures, and the destruction of customary spatial orders. Through the lens of Political Ecology, this localized friction cannot be reductively labelled as mere "anti-development" sentiment. Instead, it signifies the awakening of new ecological subjects politically organizing to protect their Socio-Ecological Systems against the encroachment of green capitalism.</w:t>
      </w:r>
    </w:p>
    <w:p w14:paraId="2DE000BD" w14:textId="13C3FA35"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State control and coercion persist through both spatial and discursive mechanisms. As observed by (</w:t>
      </w:r>
      <w:proofErr w:type="spellStart"/>
      <w:r w:rsidRPr="005D550B">
        <w:rPr>
          <w:rFonts w:ascii="Cambria" w:eastAsia="Cambria" w:hAnsi="Cambria" w:cs="Cambria"/>
          <w:sz w:val="22"/>
          <w:szCs w:val="22"/>
        </w:rPr>
        <w:t>Sihidi</w:t>
      </w:r>
      <w:proofErr w:type="spellEnd"/>
      <w:r w:rsidRPr="005D550B">
        <w:rPr>
          <w:rFonts w:ascii="Cambria" w:eastAsia="Cambria" w:hAnsi="Cambria" w:cs="Cambria"/>
          <w:sz w:val="22"/>
          <w:szCs w:val="22"/>
        </w:rPr>
        <w:t xml:space="preserve"> et al., 2025), the funding shift in the </w:t>
      </w:r>
      <w:proofErr w:type="spellStart"/>
      <w:r w:rsidRPr="005D550B">
        <w:rPr>
          <w:rFonts w:ascii="Cambria" w:eastAsia="Cambria" w:hAnsi="Cambria" w:cs="Cambria"/>
          <w:sz w:val="22"/>
          <w:szCs w:val="22"/>
        </w:rPr>
        <w:t>Wae</w:t>
      </w:r>
      <w:proofErr w:type="spellEnd"/>
      <w:r w:rsidRPr="005D550B">
        <w:rPr>
          <w:rFonts w:ascii="Cambria" w:eastAsia="Cambria" w:hAnsi="Cambria" w:cs="Cambria"/>
          <w:sz w:val="22"/>
          <w:szCs w:val="22"/>
        </w:rPr>
        <w:t xml:space="preserve"> Sano project, from the World Bank to state-backed financing, reveals a troubling reality: when social legitimacy fails by international standards, the state intervenes to prioritize energy transition ambitions over community needs. This pattern is not isolated but reflects a broader trend across the Global South (Barbosa &amp; Nóbrega, 2025; Kutlu, 2026). Alarmingly, (Esteve-Jordà &amp; Scheidel, 2026) report that the "sincere" goals of renewable energy are increasingly linked to human rights violations, particularly regarding land and livelihood security. This structural violence is fundamentally driven by the low energy density of post-fossil fuel technologies, which necessitates vast territorial expropriation. In Flores, this "energy sprawl" is reflected in the massive 7.3% of the island’s landmass being repurposed for green energy generation (</w:t>
      </w:r>
      <w:proofErr w:type="spellStart"/>
      <w:r w:rsidRPr="005D550B">
        <w:rPr>
          <w:rFonts w:ascii="Cambria" w:eastAsia="Cambria" w:hAnsi="Cambria" w:cs="Cambria"/>
          <w:sz w:val="22"/>
          <w:szCs w:val="22"/>
        </w:rPr>
        <w:t>Tittor</w:t>
      </w:r>
      <w:proofErr w:type="spellEnd"/>
      <w:r w:rsidRPr="005D550B">
        <w:rPr>
          <w:rFonts w:ascii="Cambria" w:eastAsia="Cambria" w:hAnsi="Cambria" w:cs="Cambria"/>
          <w:sz w:val="22"/>
          <w:szCs w:val="22"/>
        </w:rPr>
        <w:t>, 2026). Ultimately, this territorial annexation legitimizes "green grabbing," legally converting historically managed socio-ecological systems into monopolized energy commodity spaces under absolute state control.</w:t>
      </w:r>
    </w:p>
    <w:p w14:paraId="60628AF5" w14:textId="31BACF6C"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The state's discursive strategy frequently attempts to depoliticize grassroots friction. As observed in the media analysis, recurring statements from state actors deliberately label the opposition as a "loud minority," "disruptors," or anti-development buzzer to delegitimize their concerns. This framing attempts to reduce local resistance to mere NIMBY-ism (Not </w:t>
      </w:r>
      <w:proofErr w:type="gramStart"/>
      <w:r w:rsidRPr="005D550B">
        <w:rPr>
          <w:rFonts w:ascii="Cambria" w:eastAsia="Cambria" w:hAnsi="Cambria" w:cs="Cambria"/>
          <w:sz w:val="22"/>
          <w:szCs w:val="22"/>
        </w:rPr>
        <w:t>In</w:t>
      </w:r>
      <w:proofErr w:type="gramEnd"/>
      <w:r w:rsidRPr="005D550B">
        <w:rPr>
          <w:rFonts w:ascii="Cambria" w:eastAsia="Cambria" w:hAnsi="Cambria" w:cs="Cambria"/>
          <w:sz w:val="22"/>
          <w:szCs w:val="22"/>
        </w:rPr>
        <w:t xml:space="preserve"> My Back Yard), a reductive categorization that overlooks critical socio-cultural dimensions such as environmental identity, place attachment, and broader ecological attitudes (Sun et al., 2026). This discursive clash stems from fundamentally </w:t>
      </w:r>
      <w:r w:rsidRPr="005D550B">
        <w:rPr>
          <w:rFonts w:ascii="Cambria" w:eastAsia="Cambria" w:hAnsi="Cambria" w:cs="Cambria"/>
          <w:sz w:val="22"/>
          <w:szCs w:val="22"/>
        </w:rPr>
        <w:lastRenderedPageBreak/>
        <w:t>divergent epistemological starting points. As (Susilowati et al., 2026) explain, state actors and corporate entities typically approach geothermal energy through a narrow, technocratic lens of carbon emission reduction and megawatt targets. In stark contrast, opposing communities perceive their environment through a holistic lens; prioritizing healthy ecosystems, the survival of local agrarian economies, and living in balance with nature as an indivisible Socio-Ecological System (SES). To quote (Martinez-Alier, 2002), these actors rarely saw themselves as environmentalists but instead the struggle of their livelihood. This pattern also presents on the findings. This organic, decentralized, and various narratives from 29 different quotes from 28 different actors, came from the “Masyarakat.” The polar opposite can be found in the proponent side (</w:t>
      </w:r>
      <w:proofErr w:type="spellStart"/>
      <w:r w:rsidRPr="005D550B">
        <w:rPr>
          <w:rFonts w:ascii="Cambria" w:eastAsia="Cambria" w:hAnsi="Cambria" w:cs="Cambria"/>
          <w:sz w:val="22"/>
          <w:szCs w:val="22"/>
        </w:rPr>
        <w:t>Pemerintah</w:t>
      </w:r>
      <w:proofErr w:type="spellEnd"/>
      <w:r w:rsidRPr="005D550B">
        <w:rPr>
          <w:rFonts w:ascii="Cambria" w:eastAsia="Cambria" w:hAnsi="Cambria" w:cs="Cambria"/>
          <w:sz w:val="22"/>
          <w:szCs w:val="22"/>
        </w:rPr>
        <w:t>, PLN, developer), with centralized and repetitive themes.</w:t>
      </w:r>
    </w:p>
    <w:p w14:paraId="79AE057B" w14:textId="16B10D87"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Furthermore, these findings resonate deeply with the broader theoretical discourse on energy justice and the political ecology of climate change mitigation. (</w:t>
      </w:r>
      <w:proofErr w:type="spellStart"/>
      <w:r w:rsidRPr="005D550B">
        <w:rPr>
          <w:rFonts w:ascii="Cambria" w:eastAsia="Cambria" w:hAnsi="Cambria" w:cs="Cambria"/>
          <w:sz w:val="22"/>
          <w:szCs w:val="22"/>
        </w:rPr>
        <w:t>Sovacool</w:t>
      </w:r>
      <w:proofErr w:type="spellEnd"/>
      <w:r w:rsidRPr="005D550B">
        <w:rPr>
          <w:rFonts w:ascii="Cambria" w:eastAsia="Cambria" w:hAnsi="Cambria" w:cs="Cambria"/>
          <w:sz w:val="22"/>
          <w:szCs w:val="22"/>
        </w:rPr>
        <w:t xml:space="preserve">, 2021) systematically identifies how low-carbon transitions frequently result in distinct processes of marginalization, specifically enclosure and exclusion. The situation in Flores serves as a stark empirical manifestation of this framework; the capture of customary lands like </w:t>
      </w:r>
      <w:proofErr w:type="spellStart"/>
      <w:r w:rsidRPr="005D550B">
        <w:rPr>
          <w:rFonts w:ascii="Cambria" w:eastAsia="Cambria" w:hAnsi="Cambria" w:cs="Cambria"/>
          <w:sz w:val="22"/>
          <w:szCs w:val="22"/>
        </w:rPr>
        <w:t>Nua</w:t>
      </w:r>
      <w:proofErr w:type="spellEnd"/>
      <w:r w:rsidRPr="005D550B">
        <w:rPr>
          <w:rFonts w:ascii="Cambria" w:eastAsia="Cambria" w:hAnsi="Cambria" w:cs="Cambria"/>
          <w:sz w:val="22"/>
          <w:szCs w:val="22"/>
        </w:rPr>
        <w:t xml:space="preserve"> Saga for WKP represents physical enclosure, while the superficial implementation of FPIC represents procedural exclusion. Additionally, the discursive marginalization observed in Flores directly aligns with (</w:t>
      </w:r>
      <w:proofErr w:type="spellStart"/>
      <w:r w:rsidRPr="005D550B">
        <w:rPr>
          <w:rFonts w:ascii="Cambria" w:eastAsia="Cambria" w:hAnsi="Cambria" w:cs="Cambria"/>
          <w:sz w:val="22"/>
          <w:szCs w:val="22"/>
        </w:rPr>
        <w:t>Trisiah</w:t>
      </w:r>
      <w:proofErr w:type="spellEnd"/>
      <w:r w:rsidRPr="005D550B">
        <w:rPr>
          <w:rFonts w:ascii="Cambria" w:eastAsia="Cambria" w:hAnsi="Cambria" w:cs="Cambria"/>
          <w:sz w:val="22"/>
          <w:szCs w:val="22"/>
        </w:rPr>
        <w:t xml:space="preserve"> et al., 2022) analysis of geothermal framing in Indonesia. They found that national narratives overwhelmingly </w:t>
      </w:r>
      <w:proofErr w:type="spellStart"/>
      <w:r w:rsidRPr="005D550B">
        <w:rPr>
          <w:rFonts w:ascii="Cambria" w:eastAsia="Cambria" w:hAnsi="Cambria" w:cs="Cambria"/>
          <w:sz w:val="22"/>
          <w:szCs w:val="22"/>
        </w:rPr>
        <w:t>favour</w:t>
      </w:r>
      <w:proofErr w:type="spellEnd"/>
      <w:r w:rsidRPr="005D550B">
        <w:rPr>
          <w:rFonts w:ascii="Cambria" w:eastAsia="Cambria" w:hAnsi="Cambria" w:cs="Cambria"/>
          <w:sz w:val="22"/>
          <w:szCs w:val="22"/>
        </w:rPr>
        <w:t xml:space="preserve"> a techno-economic rationale, treating geothermal potential merely as an unexploited commodity while actively silencing the socio-ecological risks (such as water depletion in semi-arid regions) borne by host communities. By reducing legitimate ecological grievances to mere 'anti-development' noise, the state not only justifies its coercive spatial policies but also perpetuates a form of 'green colonialism' (</w:t>
      </w:r>
      <w:proofErr w:type="spellStart"/>
      <w:r w:rsidRPr="005D550B">
        <w:rPr>
          <w:rFonts w:ascii="Cambria" w:eastAsia="Cambria" w:hAnsi="Cambria" w:cs="Cambria"/>
          <w:sz w:val="22"/>
          <w:szCs w:val="22"/>
        </w:rPr>
        <w:t>Hamouchene</w:t>
      </w:r>
      <w:proofErr w:type="spellEnd"/>
      <w:r w:rsidRPr="005D550B">
        <w:rPr>
          <w:rFonts w:ascii="Cambria" w:eastAsia="Cambria" w:hAnsi="Cambria" w:cs="Cambria"/>
          <w:sz w:val="22"/>
          <w:szCs w:val="22"/>
        </w:rPr>
        <w:t>, 2023). In this paradigm, the periphery (Flores) is expected to sacrifice its socio-ecological integrity to meet the center’s (national and global) decarbonization metrics.</w:t>
      </w:r>
    </w:p>
    <w:p w14:paraId="2160B60F" w14:textId="0B2CB295"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Based on the empirical data gathered during the study, it is a reductive viewpoint to consider the socio-ecological frictions in Flores as mere implementation failures, administrative miscalculations, or manageable externalities within a fundamentally sound policy. </w:t>
      </w:r>
      <w:proofErr w:type="spellStart"/>
      <w:r w:rsidRPr="005D550B">
        <w:rPr>
          <w:rFonts w:ascii="Cambria" w:eastAsia="Cambria" w:hAnsi="Cambria" w:cs="Cambria"/>
          <w:sz w:val="22"/>
          <w:szCs w:val="22"/>
        </w:rPr>
        <w:t>Analysed</w:t>
      </w:r>
      <w:proofErr w:type="spellEnd"/>
      <w:r w:rsidRPr="005D550B">
        <w:rPr>
          <w:rFonts w:ascii="Cambria" w:eastAsia="Cambria" w:hAnsi="Cambria" w:cs="Cambria"/>
          <w:sz w:val="22"/>
          <w:szCs w:val="22"/>
        </w:rPr>
        <w:t xml:space="preserve"> through the three Political Ecology theses, the current implementation of the clean energy transition operates as a form of systemic structural violence. State-supported climate mitigation strategies and actions actively reproduce the extractive logics of fossil capitalism, ultimately establishing a framework of green colonialism (</w:t>
      </w:r>
      <w:proofErr w:type="spellStart"/>
      <w:r w:rsidRPr="005D550B">
        <w:rPr>
          <w:rFonts w:ascii="Cambria" w:eastAsia="Cambria" w:hAnsi="Cambria" w:cs="Cambria"/>
          <w:sz w:val="22"/>
          <w:szCs w:val="22"/>
        </w:rPr>
        <w:t>Hamouchene</w:t>
      </w:r>
      <w:proofErr w:type="spellEnd"/>
      <w:r w:rsidRPr="005D550B">
        <w:rPr>
          <w:rFonts w:ascii="Cambria" w:eastAsia="Cambria" w:hAnsi="Cambria" w:cs="Cambria"/>
          <w:sz w:val="22"/>
          <w:szCs w:val="22"/>
        </w:rPr>
        <w:t xml:space="preserve">, 2023; </w:t>
      </w:r>
      <w:proofErr w:type="spellStart"/>
      <w:r w:rsidRPr="005D550B">
        <w:rPr>
          <w:rFonts w:ascii="Cambria" w:eastAsia="Cambria" w:hAnsi="Cambria" w:cs="Cambria"/>
          <w:sz w:val="22"/>
          <w:szCs w:val="22"/>
        </w:rPr>
        <w:t>Sovacool</w:t>
      </w:r>
      <w:proofErr w:type="spellEnd"/>
      <w:r w:rsidRPr="005D550B">
        <w:rPr>
          <w:rFonts w:ascii="Cambria" w:eastAsia="Cambria" w:hAnsi="Cambria" w:cs="Cambria"/>
          <w:sz w:val="22"/>
          <w:szCs w:val="22"/>
        </w:rPr>
        <w:t>, 2021).</w:t>
      </w:r>
    </w:p>
    <w:p w14:paraId="5CA88B93" w14:textId="1445A74E"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The designation of Flores as </w:t>
      </w:r>
      <w:r w:rsidRPr="00CA410E">
        <w:rPr>
          <w:rFonts w:ascii="Cambria" w:eastAsia="Cambria" w:hAnsi="Cambria" w:cs="Cambria"/>
          <w:i/>
          <w:iCs/>
          <w:sz w:val="22"/>
          <w:szCs w:val="22"/>
        </w:rPr>
        <w:t>Pulau Panas Bumi</w:t>
      </w:r>
      <w:r w:rsidRPr="005D550B">
        <w:rPr>
          <w:rFonts w:ascii="Cambria" w:eastAsia="Cambria" w:hAnsi="Cambria" w:cs="Cambria"/>
          <w:sz w:val="22"/>
          <w:szCs w:val="22"/>
        </w:rPr>
        <w:t xml:space="preserve"> acts primarily as an instrument of spatial control; it exposes a critical failure in state spatial governance and the realization of procedural justice. The thematic pattern revealed in the 65 coded “Legitimacy” quotes demonstrates how “</w:t>
      </w:r>
      <w:proofErr w:type="spellStart"/>
      <w:r w:rsidRPr="005D550B">
        <w:rPr>
          <w:rFonts w:ascii="Cambria" w:eastAsia="Cambria" w:hAnsi="Cambria" w:cs="Cambria"/>
          <w:sz w:val="22"/>
          <w:szCs w:val="22"/>
        </w:rPr>
        <w:t>Pemerintah</w:t>
      </w:r>
      <w:proofErr w:type="spellEnd"/>
      <w:r w:rsidRPr="005D550B">
        <w:rPr>
          <w:rFonts w:ascii="Cambria" w:eastAsia="Cambria" w:hAnsi="Cambria" w:cs="Cambria"/>
          <w:sz w:val="22"/>
          <w:szCs w:val="22"/>
        </w:rPr>
        <w:t xml:space="preserve">” actors consistently justify these projects as benign ecological mandates, poverty alleviation tools, and non-negotiable contributions to international climate commitments. However, the spatial intersection analysis reveals a contradictory reality on the ground: a massive 7.3% of Flores Island’s landmass is consumed by WKPs. The most alarming implication of this spatial enclosure is the engulfment of </w:t>
      </w:r>
      <w:proofErr w:type="spellStart"/>
      <w:r w:rsidRPr="005D550B">
        <w:rPr>
          <w:rFonts w:ascii="Cambria" w:eastAsia="Cambria" w:hAnsi="Cambria" w:cs="Cambria"/>
          <w:sz w:val="22"/>
          <w:szCs w:val="22"/>
        </w:rPr>
        <w:t>Nua</w:t>
      </w:r>
      <w:proofErr w:type="spellEnd"/>
      <w:r w:rsidRPr="005D550B">
        <w:rPr>
          <w:rFonts w:ascii="Cambria" w:eastAsia="Cambria" w:hAnsi="Cambria" w:cs="Cambria"/>
          <w:sz w:val="22"/>
          <w:szCs w:val="22"/>
        </w:rPr>
        <w:t xml:space="preserve"> Saga. This verified </w:t>
      </w:r>
      <w:r w:rsidR="00E9016C" w:rsidRPr="00E9016C">
        <w:rPr>
          <w:rFonts w:ascii="Cambria" w:eastAsia="Cambria" w:hAnsi="Cambria" w:cs="Cambria"/>
          <w:sz w:val="22"/>
          <w:szCs w:val="22"/>
        </w:rPr>
        <w:t xml:space="preserve">customary areas </w:t>
      </w:r>
      <w:r w:rsidRPr="005D550B">
        <w:rPr>
          <w:rFonts w:ascii="Cambria" w:eastAsia="Cambria" w:hAnsi="Cambria" w:cs="Cambria"/>
          <w:sz w:val="22"/>
          <w:szCs w:val="22"/>
        </w:rPr>
        <w:t xml:space="preserve">is entirely enclosed by WKP </w:t>
      </w:r>
      <w:proofErr w:type="spellStart"/>
      <w:r w:rsidRPr="005D550B">
        <w:rPr>
          <w:rFonts w:ascii="Cambria" w:eastAsia="Cambria" w:hAnsi="Cambria" w:cs="Cambria"/>
          <w:sz w:val="22"/>
          <w:szCs w:val="22"/>
        </w:rPr>
        <w:t>Sokoria</w:t>
      </w:r>
      <w:proofErr w:type="spellEnd"/>
      <w:r w:rsidRPr="005D550B">
        <w:rPr>
          <w:rFonts w:ascii="Cambria" w:eastAsia="Cambria" w:hAnsi="Cambria" w:cs="Cambria"/>
          <w:sz w:val="22"/>
          <w:szCs w:val="22"/>
        </w:rPr>
        <w:t xml:space="preserve">. Similarly, on the other side of the island, WKP Oka Ile Ange encroaches upon more than half of </w:t>
      </w:r>
      <w:r w:rsidR="00E9016C" w:rsidRPr="00E9016C">
        <w:rPr>
          <w:rFonts w:ascii="Cambria" w:eastAsia="Cambria" w:hAnsi="Cambria" w:cs="Cambria"/>
          <w:sz w:val="22"/>
          <w:szCs w:val="22"/>
        </w:rPr>
        <w:t xml:space="preserve">customary areas of </w:t>
      </w:r>
      <w:proofErr w:type="spellStart"/>
      <w:r w:rsidRPr="005D550B">
        <w:rPr>
          <w:rFonts w:ascii="Cambria" w:eastAsia="Cambria" w:hAnsi="Cambria" w:cs="Cambria"/>
          <w:sz w:val="22"/>
          <w:szCs w:val="22"/>
        </w:rPr>
        <w:t>Lewolema</w:t>
      </w:r>
      <w:proofErr w:type="spellEnd"/>
      <w:r w:rsidRPr="005D550B">
        <w:rPr>
          <w:rFonts w:ascii="Cambria" w:eastAsia="Cambria" w:hAnsi="Cambria" w:cs="Cambria"/>
          <w:sz w:val="22"/>
          <w:szCs w:val="22"/>
        </w:rPr>
        <w:t>.</w:t>
      </w:r>
    </w:p>
    <w:p w14:paraId="48ECCE1A" w14:textId="6DB7F36E"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This phenomenon highlights a strategy of legal justification by the Ministry of ESDM. By prioritizing the PSN status over the rights of existing indigenous communities, even those whose territories are already spatially mapped by the BRWA, the state intentionally erases their traditional land ownership. The incompatibility between top-down decarbonization mandates and traditional law effectively legalizes land grabbing. Without a fundamental restructuring of spatial planning that respects </w:t>
      </w:r>
      <w:r w:rsidR="00E9016C" w:rsidRPr="00E9016C">
        <w:rPr>
          <w:rFonts w:ascii="Cambria" w:eastAsia="Cambria" w:hAnsi="Cambria" w:cs="Cambria"/>
          <w:sz w:val="22"/>
          <w:szCs w:val="22"/>
        </w:rPr>
        <w:t>customary areas</w:t>
      </w:r>
      <w:r w:rsidRPr="005D550B">
        <w:rPr>
          <w:rFonts w:ascii="Cambria" w:eastAsia="Cambria" w:hAnsi="Cambria" w:cs="Cambria"/>
          <w:sz w:val="22"/>
          <w:szCs w:val="22"/>
        </w:rPr>
        <w:t>, the state is essentially engineering endless conflicts across the island.</w:t>
      </w:r>
    </w:p>
    <w:p w14:paraId="360A8CFA" w14:textId="56200780"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This spatial reality perfectly illustrates the Political Ecology thesis of Environmental Conflict and Exclusion (Robbins, 2012). According to this framework, environmental </w:t>
      </w:r>
      <w:r w:rsidRPr="005D550B">
        <w:rPr>
          <w:rFonts w:ascii="Cambria" w:eastAsia="Cambria" w:hAnsi="Cambria" w:cs="Cambria"/>
          <w:sz w:val="22"/>
          <w:szCs w:val="22"/>
        </w:rPr>
        <w:lastRenderedPageBreak/>
        <w:t xml:space="preserve">conflicts are not merely localized disputes over resource scarcity, but are actively produced when state authorities or corporate entities enclose resources, thereby restricting the access of historically marginalized groups to their shared ecological systems. As </w:t>
      </w:r>
      <w:proofErr w:type="spellStart"/>
      <w:r w:rsidRPr="005D550B">
        <w:rPr>
          <w:rFonts w:ascii="Cambria" w:eastAsia="Cambria" w:hAnsi="Cambria" w:cs="Cambria"/>
          <w:sz w:val="22"/>
          <w:szCs w:val="22"/>
        </w:rPr>
        <w:t>Sovacool</w:t>
      </w:r>
      <w:proofErr w:type="spellEnd"/>
      <w:r w:rsidR="002C0D1B">
        <w:rPr>
          <w:rFonts w:ascii="Cambria" w:eastAsia="Cambria" w:hAnsi="Cambria" w:cs="Cambria"/>
          <w:sz w:val="22"/>
          <w:szCs w:val="22"/>
        </w:rPr>
        <w:t xml:space="preserve"> (</w:t>
      </w:r>
      <w:r w:rsidRPr="005D550B">
        <w:rPr>
          <w:rFonts w:ascii="Cambria" w:eastAsia="Cambria" w:hAnsi="Cambria" w:cs="Cambria"/>
          <w:sz w:val="22"/>
          <w:szCs w:val="22"/>
        </w:rPr>
        <w:t xml:space="preserve">2021) identifies, low-carbon transitions frequently result in distinct processes of marginalization, specifically physical enclosure and procedural exclusion. In Flores, the capture of critical watersheds and customary lands for geothermal extraction represents physical enclosure. The state essentially sacrifices the socio-ecological integrity of the outer areas to meet the center’s (national and global) decarbonization metrics. This enclosure disrupts the hydrological balance in semi-arid landscapes, severely impacting agrarian livelihoods that depend on water availability. The severity of this impact is manifested in recent findings, which report an estimated IDR 958 billion loss in the agricultural sector (specifically in </w:t>
      </w:r>
      <w:proofErr w:type="spellStart"/>
      <w:r w:rsidRPr="005D550B">
        <w:rPr>
          <w:rFonts w:ascii="Cambria" w:eastAsia="Cambria" w:hAnsi="Cambria" w:cs="Cambria"/>
          <w:sz w:val="22"/>
          <w:szCs w:val="22"/>
        </w:rPr>
        <w:t>Wae</w:t>
      </w:r>
      <w:proofErr w:type="spellEnd"/>
      <w:r w:rsidRPr="005D550B">
        <w:rPr>
          <w:rFonts w:ascii="Cambria" w:eastAsia="Cambria" w:hAnsi="Cambria" w:cs="Cambria"/>
          <w:sz w:val="22"/>
          <w:szCs w:val="22"/>
        </w:rPr>
        <w:t xml:space="preserve"> Sano), up to IDR 1.1 trillion in broader regional economic losses, and negative impacts affecting 50,608 residents across the NTT province due to geothermal projects like </w:t>
      </w:r>
      <w:proofErr w:type="spellStart"/>
      <w:r w:rsidRPr="005D550B">
        <w:rPr>
          <w:rFonts w:ascii="Cambria" w:eastAsia="Cambria" w:hAnsi="Cambria" w:cs="Cambria"/>
          <w:sz w:val="22"/>
          <w:szCs w:val="22"/>
        </w:rPr>
        <w:t>Wae</w:t>
      </w:r>
      <w:proofErr w:type="spellEnd"/>
      <w:r w:rsidRPr="005D550B">
        <w:rPr>
          <w:rFonts w:ascii="Cambria" w:eastAsia="Cambria" w:hAnsi="Cambria" w:cs="Cambria"/>
          <w:sz w:val="22"/>
          <w:szCs w:val="22"/>
        </w:rPr>
        <w:t xml:space="preserve"> Sano, </w:t>
      </w:r>
      <w:proofErr w:type="spellStart"/>
      <w:r w:rsidRPr="005D550B">
        <w:rPr>
          <w:rFonts w:ascii="Cambria" w:eastAsia="Cambria" w:hAnsi="Cambria" w:cs="Cambria"/>
          <w:sz w:val="22"/>
          <w:szCs w:val="22"/>
        </w:rPr>
        <w:t>Sokoria</w:t>
      </w:r>
      <w:proofErr w:type="spellEnd"/>
      <w:r w:rsidRPr="005D550B">
        <w:rPr>
          <w:rFonts w:ascii="Cambria" w:eastAsia="Cambria" w:hAnsi="Cambria" w:cs="Cambria"/>
          <w:sz w:val="22"/>
          <w:szCs w:val="22"/>
        </w:rPr>
        <w:t xml:space="preserve">, and </w:t>
      </w:r>
      <w:proofErr w:type="spellStart"/>
      <w:r w:rsidRPr="005D550B">
        <w:rPr>
          <w:rFonts w:ascii="Cambria" w:eastAsia="Cambria" w:hAnsi="Cambria" w:cs="Cambria"/>
          <w:sz w:val="22"/>
          <w:szCs w:val="22"/>
        </w:rPr>
        <w:t>Ulumbu</w:t>
      </w:r>
      <w:proofErr w:type="spellEnd"/>
      <w:r w:rsidRPr="005D550B">
        <w:rPr>
          <w:rFonts w:ascii="Cambria" w:eastAsia="Cambria" w:hAnsi="Cambria" w:cs="Cambria"/>
          <w:sz w:val="22"/>
          <w:szCs w:val="22"/>
        </w:rPr>
        <w:t>.</w:t>
      </w:r>
    </w:p>
    <w:p w14:paraId="047EB05B" w14:textId="2B4DCE41"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Furthermore, the Formation of Environmental Subjects thesis carries direct implications for how this conflict is understood and managed. The media analysis reveals that state actors consistently attempt to delegitimize grassroots resistance by framing it as irrational obstruction, anti-developmentalism, and mere NIMBY-ism. </w:t>
      </w:r>
      <w:r w:rsidR="004A6239" w:rsidRPr="005D550B">
        <w:rPr>
          <w:rFonts w:ascii="Cambria" w:eastAsia="Cambria" w:hAnsi="Cambria" w:cs="Cambria"/>
          <w:sz w:val="22"/>
          <w:szCs w:val="22"/>
        </w:rPr>
        <w:t>The</w:t>
      </w:r>
      <w:r w:rsidRPr="005D550B">
        <w:rPr>
          <w:rFonts w:ascii="Cambria" w:eastAsia="Cambria" w:hAnsi="Cambria" w:cs="Cambria"/>
          <w:sz w:val="22"/>
          <w:szCs w:val="22"/>
        </w:rPr>
        <w:t xml:space="preserve"> character of the community narrative is starkly different. Comprising 29 quotes from 28 different individuals, the resistance is organically decentralized without a singular dominant figure. These narratives focus consistently on concrete ecological and livelihood threats, standing in exact contrast to the techno-economic framing </w:t>
      </w:r>
      <w:r w:rsidR="004A6239" w:rsidRPr="005D550B">
        <w:rPr>
          <w:rFonts w:ascii="Cambria" w:eastAsia="Cambria" w:hAnsi="Cambria" w:cs="Cambria"/>
          <w:sz w:val="22"/>
          <w:szCs w:val="22"/>
        </w:rPr>
        <w:t>carried out</w:t>
      </w:r>
      <w:r w:rsidRPr="005D550B">
        <w:rPr>
          <w:rFonts w:ascii="Cambria" w:eastAsia="Cambria" w:hAnsi="Cambria" w:cs="Cambria"/>
          <w:sz w:val="22"/>
          <w:szCs w:val="22"/>
        </w:rPr>
        <w:t xml:space="preserve"> by the government. These movements </w:t>
      </w:r>
      <w:r w:rsidR="004A6239" w:rsidRPr="005D550B">
        <w:rPr>
          <w:rFonts w:ascii="Cambria" w:eastAsia="Cambria" w:hAnsi="Cambria" w:cs="Cambria"/>
          <w:sz w:val="22"/>
          <w:szCs w:val="22"/>
        </w:rPr>
        <w:t>do not resist</w:t>
      </w:r>
      <w:r w:rsidRPr="005D550B">
        <w:rPr>
          <w:rFonts w:ascii="Cambria" w:eastAsia="Cambria" w:hAnsi="Cambria" w:cs="Cambria"/>
          <w:sz w:val="22"/>
          <w:szCs w:val="22"/>
        </w:rPr>
        <w:t xml:space="preserve"> development; they are struggling for their daily survival and the preservation of their socio-ecological systems.</w:t>
      </w:r>
    </w:p>
    <w:p w14:paraId="0A8BC023" w14:textId="46AE3E81"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Through the integration of these three theses, it becomes evident that the socio-environmental injustices in Flores cannot be resolved through superficial procedural reforms. </w:t>
      </w:r>
      <w:r w:rsidR="00AE2D5B" w:rsidRPr="005D550B">
        <w:rPr>
          <w:rFonts w:ascii="Cambria" w:eastAsia="Cambria" w:hAnsi="Cambria" w:cs="Cambria"/>
          <w:sz w:val="22"/>
          <w:szCs w:val="22"/>
        </w:rPr>
        <w:t>Long lists of FPIC meetings</w:t>
      </w:r>
      <w:r w:rsidRPr="005D550B">
        <w:rPr>
          <w:rFonts w:ascii="Cambria" w:eastAsia="Cambria" w:hAnsi="Cambria" w:cs="Cambria"/>
          <w:sz w:val="22"/>
          <w:szCs w:val="22"/>
        </w:rPr>
        <w:t xml:space="preserve"> expanded CSR programs, or increased consultation frequency with local communities will remain fundamentally insufficient as long as the PSN designation functions as an overriding, coercive mandate. Furthermore, these efforts are futile as long as BRWA recognition carries no legally binding power against concession issuance, and the regulatory framework for geothermal development continues to apply a centralized, Java-centric template, one originally designed for uninhabited state forests, to the densely populated, culturally complex, and ecologically sensitive customary landscapes of Flores. Ultimately, until this structural asymmetry is addressed, the geothermal transition will continue to generate exclusion rather than environmental justice.</w:t>
      </w:r>
    </w:p>
    <w:p w14:paraId="50E6B1B3" w14:textId="5E307400"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The three Political Ecology theses applied in this study should not be viewed merely as individual and isolated analytical lenses. Instead, they form a deeply interconnected causal chain that systematically explains how the current energy transition efforts actively reproduce structural injustices across Flores Island. The integrated findings derived from the aforementioned qualitative socio-political media analysis and the quantitative-spatial mapping reiterate that this phenomenon; how these socio-environmental conflicts are not merely the result of unintentional administrative miscalculations or isolated local project implementation failures. Rather, as demonstrated through the integration of spatial enclosures and discursive marginalization, they are symptomatic of a broader regime of "green colonialism." The state's deliberate strategy to rebrand resource extraction as benign ecological mandates inherently necessitates the procedural exclusion of indigenous communities and the physical capture of their critical socio-ecological systems.</w:t>
      </w:r>
    </w:p>
    <w:p w14:paraId="4D2488D0" w14:textId="1CDD2258"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However, this study carries several important methodological and empirical limitations that must be explicitly acknowledged. First, concerning the qualitative data, there is a distinct limitation regarding access to comprehensive media coverage. By relying on a final curated sample of only 40 articles obtained through specific search parameters from a single search engine, the scope of the discourse analysis is inherently constrained. This methodological approach may have missed significant grassroots counter-narratives that could provide deeper nuance and better contextualize the lived realities at the site level. Furthermore, there is a strong indication of an over-representation of conflicts that have </w:t>
      </w:r>
      <w:r w:rsidRPr="005D550B">
        <w:rPr>
          <w:rFonts w:ascii="Cambria" w:eastAsia="Cambria" w:hAnsi="Cambria" w:cs="Cambria"/>
          <w:sz w:val="22"/>
          <w:szCs w:val="22"/>
        </w:rPr>
        <w:lastRenderedPageBreak/>
        <w:t xml:space="preserve">already gained substantial media visibility. This is clearly seen in the recurrent journalistic focus on high-profile dispute locations such as </w:t>
      </w:r>
      <w:proofErr w:type="spellStart"/>
      <w:r w:rsidRPr="005D550B">
        <w:rPr>
          <w:rFonts w:ascii="Cambria" w:eastAsia="Cambria" w:hAnsi="Cambria" w:cs="Cambria"/>
          <w:sz w:val="22"/>
          <w:szCs w:val="22"/>
        </w:rPr>
        <w:t>Wae</w:t>
      </w:r>
      <w:proofErr w:type="spellEnd"/>
      <w:r w:rsidRPr="005D550B">
        <w:rPr>
          <w:rFonts w:ascii="Cambria" w:eastAsia="Cambria" w:hAnsi="Cambria" w:cs="Cambria"/>
          <w:sz w:val="22"/>
          <w:szCs w:val="22"/>
        </w:rPr>
        <w:t xml:space="preserve"> Sano and Poco Leok, which might overshadow quieter but equally critical tensions occurring in other WKPs across the island. Consequently, the media analysis predominantly captures the flashpoints of resistance while potentially missing the subtle, every day and grounded forms of friction. This media bias risks reinforcing the state's reductive framing of these conflicts as mere NIMBY-ism, rather than capturing the holistic, localized struggles for agrarian survival. To truly understand the decentralized formation of new environmental subjects, future research must incorporate in-depth ethnographic fieldwork to elevate the marginalized voices that national and regional media outlets fail to document.</w:t>
      </w:r>
    </w:p>
    <w:p w14:paraId="03484D1B" w14:textId="701A25E6" w:rsidR="008D5404" w:rsidRPr="005D550B"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 xml:space="preserve">Similarly, regarding the quantitative-spatial mapping data, there is a possibility of geographical inaccuracy stemming from institutional access restrictions. Official spatial data from the BRWA and the exact WKPs from the Ministry of ESDM are not entirely </w:t>
      </w:r>
      <w:r w:rsidR="004A6239" w:rsidRPr="005D550B">
        <w:rPr>
          <w:rFonts w:ascii="Cambria" w:eastAsia="Cambria" w:hAnsi="Cambria" w:cs="Cambria"/>
          <w:sz w:val="22"/>
          <w:szCs w:val="22"/>
        </w:rPr>
        <w:t>open source</w:t>
      </w:r>
      <w:r w:rsidRPr="005D550B">
        <w:rPr>
          <w:rFonts w:ascii="Cambria" w:eastAsia="Cambria" w:hAnsi="Cambria" w:cs="Cambria"/>
          <w:sz w:val="22"/>
          <w:szCs w:val="22"/>
        </w:rPr>
        <w:t xml:space="preserve">, it necessitated the manual digitization of all these concession boundaries. Additionally, the available </w:t>
      </w:r>
      <w:r w:rsidR="00E9016C" w:rsidRPr="00E9016C">
        <w:rPr>
          <w:rFonts w:ascii="Cambria" w:eastAsia="Cambria" w:hAnsi="Cambria" w:cs="Cambria"/>
          <w:sz w:val="22"/>
          <w:szCs w:val="22"/>
        </w:rPr>
        <w:t>customary areas</w:t>
      </w:r>
      <w:r w:rsidR="00E9016C">
        <w:rPr>
          <w:rFonts w:ascii="Cambria" w:eastAsia="Cambria" w:hAnsi="Cambria" w:cs="Cambria"/>
          <w:sz w:val="22"/>
          <w:szCs w:val="22"/>
        </w:rPr>
        <w:t xml:space="preserve"> </w:t>
      </w:r>
      <w:r w:rsidRPr="005D550B">
        <w:rPr>
          <w:rFonts w:ascii="Cambria" w:eastAsia="Cambria" w:hAnsi="Cambria" w:cs="Cambria"/>
          <w:sz w:val="22"/>
          <w:szCs w:val="22"/>
        </w:rPr>
        <w:t xml:space="preserve">data obtained from BRWA are currently indicative and lack formal, legally binding recognition from the state. The two indigenous areas showing direct intersections with WKP boundaries have only been submitted for verification and are not yet fully certified. This data transparency, or the lack there of, and bureaucratic lag serve as mechanisms of power in themselves. The state and corporate entities actively exploit the administrative vacuum of uncertified customary lands to execute spatial enclosures, </w:t>
      </w:r>
      <w:r w:rsidR="004A6239" w:rsidRPr="005D550B">
        <w:rPr>
          <w:rFonts w:ascii="Cambria" w:eastAsia="Cambria" w:hAnsi="Cambria" w:cs="Cambria"/>
          <w:sz w:val="22"/>
          <w:szCs w:val="22"/>
        </w:rPr>
        <w:t>by passing</w:t>
      </w:r>
      <w:r w:rsidRPr="005D550B">
        <w:rPr>
          <w:rFonts w:ascii="Cambria" w:eastAsia="Cambria" w:hAnsi="Cambria" w:cs="Cambria"/>
          <w:sz w:val="22"/>
          <w:szCs w:val="22"/>
        </w:rPr>
        <w:t xml:space="preserve"> meaningful FPIC. By treating uncertified indigenous territories as empty or state-owned land, the geothermal expansion effectively legally sanctions "green grabbing." Consequently, the actual scale and severity of indigenous land overlapping with geothermal concessions would likely be much larger than what is documented in this research if all unrecognized customary claims were fully accounted for.</w:t>
      </w:r>
    </w:p>
    <w:p w14:paraId="34584A56" w14:textId="2E82B6F5" w:rsidR="00753C71" w:rsidRDefault="008D5404" w:rsidP="00B555C8">
      <w:pPr>
        <w:pBdr>
          <w:top w:val="nil"/>
          <w:left w:val="nil"/>
          <w:bottom w:val="nil"/>
          <w:right w:val="nil"/>
          <w:between w:val="nil"/>
        </w:pBdr>
        <w:ind w:firstLine="426"/>
        <w:rPr>
          <w:rFonts w:ascii="Cambria" w:eastAsia="Cambria" w:hAnsi="Cambria" w:cs="Cambria"/>
          <w:sz w:val="22"/>
          <w:szCs w:val="22"/>
        </w:rPr>
      </w:pPr>
      <w:r w:rsidRPr="005D550B">
        <w:rPr>
          <w:rFonts w:ascii="Cambria" w:eastAsia="Cambria" w:hAnsi="Cambria" w:cs="Cambria"/>
          <w:sz w:val="22"/>
          <w:szCs w:val="22"/>
        </w:rPr>
        <w:t>Finally, addressing the hydrological aspect, the DAS analysis successfully provides a biophysical projection of socio-ecological vulnerability. However, it fails to capture the actual, real-time water consumption data from the operating PLTPs, as precise corporate hydrological extraction data remains publicly unavailable. Without independent hydro-geological field assessments, the true extent of the "slow violence" inflicted upon the island's semi-arid hydrological balance remains a critical blind spot.</w:t>
      </w:r>
    </w:p>
    <w:p w14:paraId="1BBDB469" w14:textId="77777777" w:rsidR="005C6302" w:rsidRDefault="005C6302" w:rsidP="00B555C8">
      <w:pPr>
        <w:pBdr>
          <w:top w:val="nil"/>
          <w:left w:val="nil"/>
          <w:bottom w:val="nil"/>
          <w:right w:val="nil"/>
          <w:between w:val="nil"/>
        </w:pBdr>
        <w:ind w:firstLine="426"/>
        <w:rPr>
          <w:rFonts w:ascii="Cambria" w:eastAsia="Cambria" w:hAnsi="Cambria" w:cs="Cambria"/>
          <w:sz w:val="22"/>
          <w:szCs w:val="22"/>
        </w:rPr>
      </w:pPr>
    </w:p>
    <w:p w14:paraId="08280CE7" w14:textId="4027BDAA" w:rsidR="00DF5F43" w:rsidRPr="00DF5F43" w:rsidRDefault="00DF5F43" w:rsidP="00B555C8">
      <w:pPr>
        <w:pBdr>
          <w:top w:val="nil"/>
          <w:left w:val="nil"/>
          <w:bottom w:val="nil"/>
          <w:right w:val="nil"/>
          <w:between w:val="nil"/>
        </w:pBdr>
        <w:rPr>
          <w:rFonts w:ascii="Cambria" w:eastAsia="Cambria" w:hAnsi="Cambria" w:cs="Cambria"/>
          <w:i/>
          <w:iCs/>
          <w:sz w:val="22"/>
          <w:szCs w:val="22"/>
        </w:rPr>
      </w:pPr>
      <w:r w:rsidRPr="00DF5F43">
        <w:rPr>
          <w:rFonts w:ascii="Cambria" w:eastAsia="Cambria" w:hAnsi="Cambria" w:cs="Cambria"/>
          <w:i/>
          <w:iCs/>
          <w:sz w:val="22"/>
          <w:szCs w:val="22"/>
        </w:rPr>
        <w:t>3.1 Discussion</w:t>
      </w:r>
    </w:p>
    <w:p w14:paraId="6F940DDA" w14:textId="77777777" w:rsidR="00DF5F43" w:rsidRDefault="00DF5F43" w:rsidP="00B555C8">
      <w:pPr>
        <w:pBdr>
          <w:top w:val="nil"/>
          <w:left w:val="nil"/>
          <w:bottom w:val="nil"/>
          <w:right w:val="nil"/>
          <w:between w:val="nil"/>
        </w:pBdr>
        <w:ind w:firstLine="426"/>
        <w:rPr>
          <w:rFonts w:ascii="Cambria" w:eastAsia="Cambria" w:hAnsi="Cambria" w:cs="Cambria"/>
          <w:sz w:val="22"/>
          <w:szCs w:val="22"/>
        </w:rPr>
      </w:pPr>
    </w:p>
    <w:p w14:paraId="78738C23" w14:textId="77777777" w:rsidR="00DF5F43" w:rsidRPr="005D550B" w:rsidRDefault="00DF5F43" w:rsidP="00DF5F43">
      <w:pPr>
        <w:ind w:firstLine="426"/>
        <w:rPr>
          <w:rFonts w:ascii="Cambria" w:eastAsia="Cambria" w:hAnsi="Cambria" w:cs="Cambria"/>
          <w:sz w:val="22"/>
          <w:szCs w:val="22"/>
        </w:rPr>
      </w:pPr>
      <w:r w:rsidRPr="005D550B">
        <w:rPr>
          <w:rFonts w:ascii="Cambria" w:eastAsia="Cambria" w:hAnsi="Cambria" w:cs="Cambria"/>
          <w:sz w:val="22"/>
          <w:szCs w:val="22"/>
        </w:rPr>
        <w:t xml:space="preserve">This study set out to </w:t>
      </w:r>
      <w:proofErr w:type="spellStart"/>
      <w:r w:rsidRPr="005D550B">
        <w:rPr>
          <w:rFonts w:ascii="Cambria" w:eastAsia="Cambria" w:hAnsi="Cambria" w:cs="Cambria"/>
          <w:sz w:val="22"/>
          <w:szCs w:val="22"/>
        </w:rPr>
        <w:t>analyse</w:t>
      </w:r>
      <w:proofErr w:type="spellEnd"/>
      <w:r w:rsidRPr="005D550B">
        <w:rPr>
          <w:rFonts w:ascii="Cambria" w:eastAsia="Cambria" w:hAnsi="Cambria" w:cs="Cambria"/>
          <w:sz w:val="22"/>
          <w:szCs w:val="22"/>
        </w:rPr>
        <w:t xml:space="preserve"> the socio-environmental challenges embedded within Indonesia's geothermal energy transition on Flores Island through the lens of Political Ecology. Its central contribution is to demonstrate that the renewable energy transition currently happening in Flores is not categorically distinct from the extractive energy regimes it should replace, rather, it reproduces the same logic of land grabbing, procedural circumvention, and discursive de-legitimation, only under a new and polished green vocabulary. The integrated spatial and discursive findings confirm that the conflicts within and adjacent to WKPs are not incidental administrative frictions or accidental implementation failures. Rather, a structural outcome of a fundamentally unjust transition paradigm that mirrors the extractive logics of older fossil-based energy regimes.</w:t>
      </w:r>
    </w:p>
    <w:p w14:paraId="03D41C92" w14:textId="1278FC81" w:rsidR="00DF5F43" w:rsidRPr="005D550B" w:rsidRDefault="00DF5F43" w:rsidP="00DF5F43">
      <w:pPr>
        <w:ind w:firstLine="426"/>
        <w:rPr>
          <w:rFonts w:ascii="Cambria" w:eastAsia="Cambria" w:hAnsi="Cambria" w:cs="Cambria"/>
          <w:sz w:val="22"/>
          <w:szCs w:val="22"/>
        </w:rPr>
      </w:pPr>
      <w:r w:rsidRPr="005D550B">
        <w:rPr>
          <w:rFonts w:ascii="Cambria" w:eastAsia="Cambria" w:hAnsi="Cambria" w:cs="Cambria"/>
          <w:sz w:val="22"/>
          <w:szCs w:val="22"/>
        </w:rPr>
        <w:t xml:space="preserve">The three Political Ecology theses applied in this study form a deeply interconnected causal chain. The Conservation and Control thesis reveals how the designation of Flores as </w:t>
      </w:r>
      <w:r w:rsidRPr="00CA410E">
        <w:rPr>
          <w:rFonts w:ascii="Cambria" w:eastAsia="Cambria" w:hAnsi="Cambria" w:cs="Cambria"/>
          <w:i/>
          <w:iCs/>
          <w:sz w:val="22"/>
          <w:szCs w:val="22"/>
        </w:rPr>
        <w:t>Pulau Panas Bumi</w:t>
      </w:r>
      <w:r w:rsidRPr="005D550B">
        <w:rPr>
          <w:rFonts w:ascii="Cambria" w:eastAsia="Cambria" w:hAnsi="Cambria" w:cs="Cambria"/>
          <w:sz w:val="22"/>
          <w:szCs w:val="22"/>
        </w:rPr>
        <w:t xml:space="preserve"> functions as a hegemonic state instrument, enclosing historically managed socio-ecological systems under the guise of national energy transition ambitions and international commitment. The Environmental Conflict and Exclusion thesis exposes the severe biophysical reality of this enclosure: six WKPs consume 7.3% of the island's landmass and overlap with 18 critical watersheds, threatening the region's agricultural dependency and hydrological integrity. Furthermore, it highlights the severe administrative erasure of customary lands, exemplified by the complete engulfment of the verified </w:t>
      </w:r>
      <w:r w:rsidR="00E9016C" w:rsidRPr="00E9016C">
        <w:rPr>
          <w:rFonts w:ascii="Cambria" w:eastAsia="Cambria" w:hAnsi="Cambria" w:cs="Cambria"/>
          <w:sz w:val="22"/>
          <w:szCs w:val="22"/>
        </w:rPr>
        <w:t xml:space="preserve">customary areas of </w:t>
      </w:r>
      <w:proofErr w:type="spellStart"/>
      <w:r w:rsidRPr="005D550B">
        <w:rPr>
          <w:rFonts w:ascii="Cambria" w:eastAsia="Cambria" w:hAnsi="Cambria" w:cs="Cambria"/>
          <w:sz w:val="22"/>
          <w:szCs w:val="22"/>
        </w:rPr>
        <w:t>Nua</w:t>
      </w:r>
      <w:proofErr w:type="spellEnd"/>
      <w:r w:rsidRPr="005D550B">
        <w:rPr>
          <w:rFonts w:ascii="Cambria" w:eastAsia="Cambria" w:hAnsi="Cambria" w:cs="Cambria"/>
          <w:sz w:val="22"/>
          <w:szCs w:val="22"/>
        </w:rPr>
        <w:t xml:space="preserve"> Saga. Crucially, the discursive analysis reveals that this spatial violation is facilitated by bureaucratic proceduralism. The state always relied on a </w:t>
      </w:r>
      <w:r w:rsidRPr="005D550B">
        <w:rPr>
          <w:rFonts w:ascii="Cambria" w:eastAsia="Cambria" w:hAnsi="Cambria" w:cs="Cambria"/>
          <w:sz w:val="22"/>
          <w:szCs w:val="22"/>
        </w:rPr>
        <w:lastRenderedPageBreak/>
        <w:t>hegemonic national ambition narrative to ignore resistance and explicitly shown by 18 resistance quotes on FPIC violations. Consequently, the Formation of Environmental Subjects thesis demonstrates that these systemic exclusions have organically triggered decentralized grassroots resistance. These community movements are driven not by anti-development sentiments and narrative, but by the urgent necessity to defend their localized ecological survival.</w:t>
      </w:r>
    </w:p>
    <w:p w14:paraId="365866FB" w14:textId="77777777" w:rsidR="00DF5F43" w:rsidRPr="005D550B" w:rsidRDefault="00DF5F43" w:rsidP="008D5404">
      <w:pPr>
        <w:pBdr>
          <w:top w:val="nil"/>
          <w:left w:val="nil"/>
          <w:bottom w:val="nil"/>
          <w:right w:val="nil"/>
          <w:between w:val="nil"/>
        </w:pBdr>
        <w:ind w:firstLine="426"/>
        <w:rPr>
          <w:rFonts w:ascii="Cambria" w:eastAsia="Cambria" w:hAnsi="Cambria" w:cs="Cambria"/>
          <w:sz w:val="22"/>
          <w:szCs w:val="22"/>
        </w:rPr>
      </w:pPr>
    </w:p>
    <w:p w14:paraId="367396C8" w14:textId="77777777" w:rsidR="00E06797" w:rsidRPr="005D550B" w:rsidRDefault="00A936EE">
      <w:pPr>
        <w:rPr>
          <w:rFonts w:ascii="Cambria" w:eastAsia="Cambria" w:hAnsi="Cambria" w:cs="Cambria"/>
          <w:b/>
          <w:bCs/>
          <w:sz w:val="24"/>
          <w:szCs w:val="24"/>
        </w:rPr>
      </w:pPr>
      <w:r w:rsidRPr="005D550B">
        <w:rPr>
          <w:rFonts w:ascii="Cambria" w:eastAsia="Cambria" w:hAnsi="Cambria" w:cs="Cambria"/>
          <w:b/>
          <w:bCs/>
          <w:sz w:val="24"/>
          <w:szCs w:val="24"/>
        </w:rPr>
        <w:t>4. Conclusions</w:t>
      </w:r>
    </w:p>
    <w:p w14:paraId="0B6C4E7A" w14:textId="77777777" w:rsidR="00E06797" w:rsidRPr="005D550B" w:rsidRDefault="00E06797">
      <w:pPr>
        <w:rPr>
          <w:rFonts w:ascii="Cambria" w:eastAsia="Cambria" w:hAnsi="Cambria" w:cs="Cambria"/>
          <w:b/>
          <w:bCs/>
          <w:sz w:val="24"/>
          <w:szCs w:val="24"/>
        </w:rPr>
      </w:pPr>
    </w:p>
    <w:p w14:paraId="414B760E" w14:textId="0485CE1B" w:rsidR="008D5404" w:rsidRPr="005D550B" w:rsidRDefault="008D5404">
      <w:pPr>
        <w:ind w:firstLine="426"/>
        <w:rPr>
          <w:rFonts w:ascii="Cambria" w:eastAsia="Cambria" w:hAnsi="Cambria" w:cs="Cambria"/>
          <w:sz w:val="22"/>
          <w:szCs w:val="22"/>
        </w:rPr>
      </w:pPr>
      <w:bookmarkStart w:id="1" w:name="_x2b1jh463mfe" w:colFirst="0" w:colLast="0"/>
      <w:bookmarkEnd w:id="1"/>
      <w:r w:rsidRPr="005D550B">
        <w:rPr>
          <w:rFonts w:ascii="Cambria" w:eastAsia="Cambria" w:hAnsi="Cambria" w:cs="Cambria"/>
          <w:sz w:val="22"/>
          <w:szCs w:val="22"/>
        </w:rPr>
        <w:t xml:space="preserve">Building on these findings, it is recommended that the Indonesian government fundamentally restructure the spatial governance of </w:t>
      </w:r>
      <w:r w:rsidRPr="00CA410E">
        <w:rPr>
          <w:rFonts w:ascii="Cambria" w:eastAsia="Cambria" w:hAnsi="Cambria" w:cs="Cambria"/>
          <w:i/>
          <w:iCs/>
          <w:sz w:val="22"/>
          <w:szCs w:val="22"/>
        </w:rPr>
        <w:t>Pulau Panas Bumi</w:t>
      </w:r>
      <w:r w:rsidRPr="005D550B">
        <w:rPr>
          <w:rFonts w:ascii="Cambria" w:eastAsia="Cambria" w:hAnsi="Cambria" w:cs="Cambria"/>
          <w:sz w:val="22"/>
          <w:szCs w:val="22"/>
        </w:rPr>
        <w:t xml:space="preserve">. The central diagnostic of this study is that exclusion in Flores is not a downstream implementation error but is engineered upstream, at the moment of spatial designation. One of the cases </w:t>
      </w:r>
      <w:r w:rsidR="00696A19" w:rsidRPr="005D550B">
        <w:rPr>
          <w:rFonts w:ascii="Cambria" w:eastAsia="Cambria" w:hAnsi="Cambria" w:cs="Cambria"/>
          <w:sz w:val="22"/>
          <w:szCs w:val="22"/>
        </w:rPr>
        <w:t>represents</w:t>
      </w:r>
      <w:r w:rsidRPr="005D550B">
        <w:rPr>
          <w:rFonts w:ascii="Cambria" w:eastAsia="Cambria" w:hAnsi="Cambria" w:cs="Cambria"/>
          <w:sz w:val="22"/>
          <w:szCs w:val="22"/>
        </w:rPr>
        <w:t xml:space="preserve"> what’s happening. The engulfment of the verified </w:t>
      </w:r>
      <w:r w:rsidR="00E9016C" w:rsidRPr="00E9016C">
        <w:rPr>
          <w:rFonts w:ascii="Cambria" w:eastAsia="Cambria" w:hAnsi="Cambria" w:cs="Cambria"/>
          <w:sz w:val="22"/>
          <w:szCs w:val="22"/>
        </w:rPr>
        <w:t xml:space="preserve">customary areas of </w:t>
      </w:r>
      <w:proofErr w:type="spellStart"/>
      <w:r w:rsidRPr="005D550B">
        <w:rPr>
          <w:rFonts w:ascii="Cambria" w:eastAsia="Cambria" w:hAnsi="Cambria" w:cs="Cambria"/>
          <w:sz w:val="22"/>
          <w:szCs w:val="22"/>
        </w:rPr>
        <w:t>Nua</w:t>
      </w:r>
      <w:proofErr w:type="spellEnd"/>
      <w:r w:rsidRPr="005D550B">
        <w:rPr>
          <w:rFonts w:ascii="Cambria" w:eastAsia="Cambria" w:hAnsi="Cambria" w:cs="Cambria"/>
          <w:sz w:val="22"/>
          <w:szCs w:val="22"/>
        </w:rPr>
        <w:t xml:space="preserve"> Saga, where 7 of the 18 island-wide FPIC-violation accounts concentrate on a single concession, demonstrates that consent is sought, if at all, only after spatial rights have already been foreclosed. The first and most decisive intervention therefore targets sequence rather than frequency: substantive FPIC must function as a precondition for WKP designation itself, not as a post-designation formality layered onto an already-fixed concession. Relocating the consent checkpoint to the pre-designation stage attacks the exclusion at its origin rather than its symptom.</w:t>
      </w:r>
    </w:p>
    <w:p w14:paraId="20736F98" w14:textId="00E663E6" w:rsidR="008D5404" w:rsidRPr="005D550B" w:rsidRDefault="008D5404">
      <w:pPr>
        <w:ind w:firstLine="426"/>
        <w:rPr>
          <w:rFonts w:ascii="Cambria" w:eastAsia="Cambria" w:hAnsi="Cambria" w:cs="Cambria"/>
          <w:sz w:val="22"/>
          <w:szCs w:val="22"/>
        </w:rPr>
      </w:pPr>
      <w:r w:rsidRPr="005D550B">
        <w:rPr>
          <w:rFonts w:ascii="Cambria" w:eastAsia="Cambria" w:hAnsi="Cambria" w:cs="Cambria"/>
          <w:sz w:val="22"/>
          <w:szCs w:val="22"/>
        </w:rPr>
        <w:t xml:space="preserve">The second intervention follows from the same case. </w:t>
      </w:r>
      <w:proofErr w:type="spellStart"/>
      <w:r w:rsidRPr="005D550B">
        <w:rPr>
          <w:rFonts w:ascii="Cambria" w:eastAsia="Cambria" w:hAnsi="Cambria" w:cs="Cambria"/>
          <w:sz w:val="22"/>
          <w:szCs w:val="22"/>
        </w:rPr>
        <w:t>Nua</w:t>
      </w:r>
      <w:proofErr w:type="spellEnd"/>
      <w:r w:rsidRPr="005D550B">
        <w:rPr>
          <w:rFonts w:ascii="Cambria" w:eastAsia="Cambria" w:hAnsi="Cambria" w:cs="Cambria"/>
          <w:sz w:val="22"/>
          <w:szCs w:val="22"/>
        </w:rPr>
        <w:t xml:space="preserve"> Saga's "verified" BRWA status coexisting with total spatial override exposes a precise legal vacuum: recognition without binding force against concession issuance is recognition in name only. Closing this gap requires that BRWA-verified status be made legally operative as a constraint on WKP boundaries, functioning not as a mere administrative record but also an enforceable spatial right. Together these two measures reframe the problem from how often communities are consulted to whether their territorial recognition can legally halt a concession at all, the difference between procedural participation and substantive right.</w:t>
      </w:r>
    </w:p>
    <w:p w14:paraId="7423213E" w14:textId="6BC13D86" w:rsidR="008D5404" w:rsidRPr="005D550B" w:rsidRDefault="008D5404">
      <w:pPr>
        <w:ind w:firstLine="426"/>
        <w:rPr>
          <w:rFonts w:ascii="Cambria" w:eastAsia="Cambria" w:hAnsi="Cambria" w:cs="Cambria"/>
          <w:sz w:val="22"/>
          <w:szCs w:val="22"/>
        </w:rPr>
      </w:pPr>
      <w:r w:rsidRPr="005D550B">
        <w:rPr>
          <w:rFonts w:ascii="Cambria" w:eastAsia="Cambria" w:hAnsi="Cambria" w:cs="Cambria"/>
          <w:sz w:val="22"/>
          <w:szCs w:val="22"/>
        </w:rPr>
        <w:t xml:space="preserve">These targeted reforms, however, will remain partial unless the broader spatial-governance procedure itself rebuilt. As the analysis has shown, the structural root of the Flores conflict is the application of a </w:t>
      </w:r>
      <w:proofErr w:type="spellStart"/>
      <w:r w:rsidRPr="005D550B">
        <w:rPr>
          <w:rFonts w:ascii="Cambria" w:eastAsia="Cambria" w:hAnsi="Cambria" w:cs="Cambria"/>
          <w:sz w:val="22"/>
          <w:szCs w:val="22"/>
        </w:rPr>
        <w:t>centralised</w:t>
      </w:r>
      <w:proofErr w:type="spellEnd"/>
      <w:r w:rsidRPr="005D550B">
        <w:rPr>
          <w:rFonts w:ascii="Cambria" w:eastAsia="Cambria" w:hAnsi="Cambria" w:cs="Cambria"/>
          <w:sz w:val="22"/>
          <w:szCs w:val="22"/>
        </w:rPr>
        <w:t>, Java-centric regulatory framework, designed for uninhabited state forests, onto a densely populated customary landscape. The PSN designation, functioning as an overriding mandate, allows this template to bypass the very recognitions (BRWA) and procedures (FPIC) that might otherwise constrain it. Consequently, no amount of expanded CSR or increased meeting frequency can resolve a conflict whose source is the designation architecture itself. A genuinely just transition requires that strategic-project status cease to operate as a license to override indigenous spatial recognition, and that spatial planning for Eastern Indonesia be built from its own socio-ecological reality rather than inherited from the Javanese empty-and-state owned forest model.</w:t>
      </w:r>
    </w:p>
    <w:p w14:paraId="0645672F" w14:textId="624F93AE" w:rsidR="008D5404" w:rsidRPr="005D550B" w:rsidRDefault="008D5404" w:rsidP="008D5404">
      <w:pPr>
        <w:ind w:firstLine="426"/>
        <w:rPr>
          <w:rFonts w:ascii="Cambria" w:eastAsia="Cambria" w:hAnsi="Cambria" w:cs="Cambria"/>
          <w:sz w:val="22"/>
          <w:szCs w:val="22"/>
        </w:rPr>
      </w:pPr>
      <w:r w:rsidRPr="005D550B">
        <w:rPr>
          <w:rFonts w:ascii="Cambria" w:eastAsia="Cambria" w:hAnsi="Cambria" w:cs="Cambria"/>
          <w:sz w:val="22"/>
          <w:szCs w:val="22"/>
        </w:rPr>
        <w:t>Given the study’s reliance on desk-based media analysis and indicative mapping, future research should aim to bridge existing empirical gaps. Specifically, qualitative field research is recommended to capture the nuanced micro-dynamics of resistance at the site level, which may have been over-represented or obscured in media discourse. Additionally, independent hydro-geological assessments are necessary to precisely quantify groundwater consumption, which remains inaccessible yet critical to the region's hydrological integrity. By integrating these academic and policy-oriented shifts, the transition toward renewable energy can move beyond the "green colonialism" currently observed in Flores, ensuring that decarbonization does not come at the expense of localized socio-ecological justice.</w:t>
      </w:r>
    </w:p>
    <w:p w14:paraId="21CE909C" w14:textId="77777777" w:rsidR="00E06797" w:rsidRDefault="00E06797">
      <w:pPr>
        <w:pBdr>
          <w:top w:val="nil"/>
          <w:left w:val="nil"/>
          <w:bottom w:val="nil"/>
          <w:right w:val="nil"/>
          <w:between w:val="nil"/>
        </w:pBdr>
        <w:rPr>
          <w:rFonts w:ascii="Cambria" w:eastAsia="Cambria" w:hAnsi="Cambria" w:cs="Cambria"/>
          <w:sz w:val="22"/>
          <w:szCs w:val="22"/>
        </w:rPr>
      </w:pPr>
    </w:p>
    <w:p w14:paraId="3CBFC125" w14:textId="77777777" w:rsidR="002B4BB0" w:rsidRDefault="002B4BB0">
      <w:pPr>
        <w:pBdr>
          <w:top w:val="nil"/>
          <w:left w:val="nil"/>
          <w:bottom w:val="nil"/>
          <w:right w:val="nil"/>
          <w:between w:val="nil"/>
        </w:pBdr>
        <w:rPr>
          <w:rFonts w:ascii="Cambria" w:eastAsia="Cambria" w:hAnsi="Cambria" w:cs="Cambria"/>
          <w:sz w:val="22"/>
          <w:szCs w:val="22"/>
        </w:rPr>
      </w:pPr>
    </w:p>
    <w:p w14:paraId="6E45DC09" w14:textId="77777777" w:rsidR="002B4BB0" w:rsidRPr="005D550B" w:rsidRDefault="002B4BB0">
      <w:pPr>
        <w:pBdr>
          <w:top w:val="nil"/>
          <w:left w:val="nil"/>
          <w:bottom w:val="nil"/>
          <w:right w:val="nil"/>
          <w:between w:val="nil"/>
        </w:pBdr>
        <w:rPr>
          <w:rFonts w:ascii="Cambria" w:eastAsia="Cambria" w:hAnsi="Cambria" w:cs="Cambria"/>
          <w:sz w:val="22"/>
          <w:szCs w:val="22"/>
        </w:rPr>
      </w:pPr>
    </w:p>
    <w:p w14:paraId="0C8E686C" w14:textId="77777777" w:rsidR="00E06797" w:rsidRPr="005D550B" w:rsidRDefault="00A936EE">
      <w:pPr>
        <w:rPr>
          <w:rFonts w:ascii="Cambria" w:eastAsia="Cambria" w:hAnsi="Cambria" w:cs="Cambria"/>
          <w:b/>
          <w:bCs/>
          <w:sz w:val="24"/>
          <w:szCs w:val="24"/>
        </w:rPr>
      </w:pPr>
      <w:r w:rsidRPr="005D550B">
        <w:rPr>
          <w:rFonts w:ascii="Cambria" w:eastAsia="Cambria" w:hAnsi="Cambria" w:cs="Cambria"/>
          <w:b/>
          <w:bCs/>
          <w:sz w:val="24"/>
          <w:szCs w:val="24"/>
        </w:rPr>
        <w:lastRenderedPageBreak/>
        <w:t>Acknowledgement</w:t>
      </w:r>
    </w:p>
    <w:p w14:paraId="4E48B01B" w14:textId="6210E90A" w:rsidR="00E06797" w:rsidRPr="005D550B" w:rsidRDefault="008D58E8" w:rsidP="00D6424B">
      <w:pPr>
        <w:rPr>
          <w:rFonts w:ascii="Cambria" w:eastAsia="Cambria" w:hAnsi="Cambria" w:cs="Cambria"/>
          <w:sz w:val="22"/>
          <w:szCs w:val="22"/>
        </w:rPr>
      </w:pPr>
      <w:r w:rsidRPr="005D550B">
        <w:rPr>
          <w:rFonts w:ascii="Cambria" w:eastAsia="Cambria" w:hAnsi="Cambria" w:cs="Cambria"/>
          <w:sz w:val="22"/>
          <w:szCs w:val="22"/>
        </w:rPr>
        <w:t>The author would like to express their sincere gratitude to all parties who contributed to the completion of this research.</w:t>
      </w:r>
    </w:p>
    <w:p w14:paraId="5598D07A" w14:textId="77777777" w:rsidR="00E06797" w:rsidRPr="005D550B" w:rsidRDefault="00E06797">
      <w:pPr>
        <w:rPr>
          <w:rFonts w:ascii="Cambria" w:eastAsia="Cambria" w:hAnsi="Cambria" w:cs="Cambria"/>
          <w:b/>
          <w:bCs/>
          <w:sz w:val="22"/>
          <w:szCs w:val="22"/>
        </w:rPr>
      </w:pPr>
    </w:p>
    <w:p w14:paraId="6282BBE6" w14:textId="77777777" w:rsidR="00E06797" w:rsidRPr="005D550B" w:rsidRDefault="00A936EE">
      <w:pPr>
        <w:rPr>
          <w:rFonts w:ascii="Cambria" w:eastAsia="Cambria" w:hAnsi="Cambria" w:cs="Cambria"/>
          <w:b/>
          <w:bCs/>
          <w:sz w:val="24"/>
          <w:szCs w:val="24"/>
        </w:rPr>
      </w:pPr>
      <w:r w:rsidRPr="005D550B">
        <w:rPr>
          <w:rFonts w:ascii="Cambria" w:eastAsia="Cambria" w:hAnsi="Cambria" w:cs="Cambria"/>
          <w:b/>
          <w:bCs/>
          <w:sz w:val="24"/>
          <w:szCs w:val="24"/>
        </w:rPr>
        <w:t>Author Contribution</w:t>
      </w:r>
    </w:p>
    <w:p w14:paraId="4E7678C3" w14:textId="2C2833AA" w:rsidR="00E06797" w:rsidRPr="005D550B" w:rsidRDefault="008D58E8" w:rsidP="008D58E8">
      <w:pPr>
        <w:rPr>
          <w:rFonts w:ascii="Cambria" w:eastAsia="Cambria" w:hAnsi="Cambria" w:cs="Cambria"/>
          <w:sz w:val="22"/>
          <w:szCs w:val="22"/>
        </w:rPr>
      </w:pPr>
      <w:r w:rsidRPr="005D550B">
        <w:rPr>
          <w:rFonts w:ascii="Cambria" w:eastAsia="Cambria" w:hAnsi="Cambria" w:cs="Cambria"/>
          <w:sz w:val="22"/>
          <w:szCs w:val="22"/>
        </w:rPr>
        <w:t>The author contributed fully to the research.</w:t>
      </w:r>
    </w:p>
    <w:p w14:paraId="1D52C28C" w14:textId="77777777" w:rsidR="008D58E8" w:rsidRPr="005D550B" w:rsidRDefault="008D58E8">
      <w:pPr>
        <w:ind w:firstLine="284"/>
        <w:rPr>
          <w:rFonts w:ascii="Cambria" w:eastAsia="Cambria" w:hAnsi="Cambria" w:cs="Cambria"/>
          <w:sz w:val="22"/>
          <w:szCs w:val="22"/>
        </w:rPr>
      </w:pPr>
    </w:p>
    <w:p w14:paraId="32039F24" w14:textId="77777777" w:rsidR="00E06797" w:rsidRPr="005D550B" w:rsidRDefault="00A936EE">
      <w:pPr>
        <w:rPr>
          <w:rFonts w:ascii="Cambria" w:eastAsia="Cambria" w:hAnsi="Cambria" w:cs="Cambria"/>
          <w:b/>
          <w:bCs/>
          <w:sz w:val="24"/>
          <w:szCs w:val="24"/>
        </w:rPr>
      </w:pPr>
      <w:r w:rsidRPr="005D550B">
        <w:rPr>
          <w:rFonts w:ascii="Cambria" w:eastAsia="Cambria" w:hAnsi="Cambria" w:cs="Cambria"/>
          <w:b/>
          <w:bCs/>
          <w:sz w:val="24"/>
          <w:szCs w:val="24"/>
        </w:rPr>
        <w:t>Funding</w:t>
      </w:r>
    </w:p>
    <w:p w14:paraId="372E5254" w14:textId="25A4FCD1" w:rsidR="00E06797" w:rsidRPr="005D550B" w:rsidRDefault="008D58E8">
      <w:pPr>
        <w:rPr>
          <w:rFonts w:ascii="Cambria" w:eastAsia="Cambria" w:hAnsi="Cambria" w:cs="Cambria"/>
          <w:sz w:val="22"/>
          <w:szCs w:val="22"/>
        </w:rPr>
      </w:pPr>
      <w:r w:rsidRPr="005D550B">
        <w:rPr>
          <w:rFonts w:ascii="Cambria" w:eastAsia="Cambria" w:hAnsi="Cambria" w:cs="Cambria"/>
          <w:sz w:val="22"/>
          <w:szCs w:val="22"/>
        </w:rPr>
        <w:t>This research received no external funding.</w:t>
      </w:r>
    </w:p>
    <w:p w14:paraId="4583B73E" w14:textId="77777777" w:rsidR="008D58E8" w:rsidRPr="005D550B" w:rsidRDefault="008D58E8">
      <w:pPr>
        <w:rPr>
          <w:rFonts w:ascii="Cambria" w:eastAsia="Cambria" w:hAnsi="Cambria" w:cs="Cambria"/>
          <w:b/>
          <w:bCs/>
          <w:sz w:val="22"/>
          <w:szCs w:val="22"/>
        </w:rPr>
      </w:pPr>
    </w:p>
    <w:p w14:paraId="071941C7" w14:textId="77777777" w:rsidR="00E06797" w:rsidRPr="005D550B" w:rsidRDefault="00A936EE">
      <w:pPr>
        <w:rPr>
          <w:rFonts w:ascii="Cambria" w:eastAsia="Cambria" w:hAnsi="Cambria" w:cs="Cambria"/>
          <w:b/>
          <w:bCs/>
          <w:sz w:val="24"/>
          <w:szCs w:val="24"/>
        </w:rPr>
      </w:pPr>
      <w:r w:rsidRPr="005D550B">
        <w:rPr>
          <w:rFonts w:ascii="Cambria" w:eastAsia="Cambria" w:hAnsi="Cambria" w:cs="Cambria"/>
          <w:b/>
          <w:bCs/>
          <w:sz w:val="24"/>
          <w:szCs w:val="24"/>
        </w:rPr>
        <w:t>Ethical Review Board Statement</w:t>
      </w:r>
    </w:p>
    <w:p w14:paraId="7ED8807F" w14:textId="39412854" w:rsidR="00E06797" w:rsidRPr="005D550B" w:rsidRDefault="008D58E8">
      <w:pPr>
        <w:rPr>
          <w:rFonts w:ascii="Cambria" w:eastAsia="Cambria" w:hAnsi="Cambria" w:cs="Cambria"/>
          <w:sz w:val="22"/>
          <w:szCs w:val="22"/>
        </w:rPr>
      </w:pPr>
      <w:r w:rsidRPr="005D550B">
        <w:rPr>
          <w:rFonts w:ascii="Cambria" w:eastAsia="Cambria" w:hAnsi="Cambria" w:cs="Cambria"/>
          <w:sz w:val="22"/>
          <w:szCs w:val="22"/>
        </w:rPr>
        <w:t>Not available.</w:t>
      </w:r>
    </w:p>
    <w:p w14:paraId="13B4FE6D" w14:textId="77777777" w:rsidR="008D58E8" w:rsidRPr="005D550B" w:rsidRDefault="008D58E8">
      <w:pPr>
        <w:rPr>
          <w:rFonts w:ascii="Cambria" w:eastAsia="Cambria" w:hAnsi="Cambria" w:cs="Cambria"/>
          <w:b/>
          <w:bCs/>
          <w:sz w:val="22"/>
          <w:szCs w:val="22"/>
        </w:rPr>
      </w:pPr>
    </w:p>
    <w:p w14:paraId="52C67B73" w14:textId="77777777" w:rsidR="00E06797" w:rsidRPr="005D550B" w:rsidRDefault="00A936EE">
      <w:pPr>
        <w:rPr>
          <w:rFonts w:ascii="Cambria" w:eastAsia="Cambria" w:hAnsi="Cambria" w:cs="Cambria"/>
          <w:b/>
          <w:bCs/>
          <w:sz w:val="24"/>
          <w:szCs w:val="24"/>
        </w:rPr>
      </w:pPr>
      <w:r w:rsidRPr="005D550B">
        <w:rPr>
          <w:rFonts w:ascii="Cambria" w:eastAsia="Cambria" w:hAnsi="Cambria" w:cs="Cambria"/>
          <w:b/>
          <w:bCs/>
          <w:sz w:val="24"/>
          <w:szCs w:val="24"/>
        </w:rPr>
        <w:t>Informed Consent Statement</w:t>
      </w:r>
    </w:p>
    <w:p w14:paraId="237AD999" w14:textId="32A2D5C7" w:rsidR="00E06797" w:rsidRPr="005D550B" w:rsidRDefault="00364846" w:rsidP="00364846">
      <w:pPr>
        <w:rPr>
          <w:rFonts w:ascii="Cambria" w:eastAsia="Cambria" w:hAnsi="Cambria" w:cs="Cambria"/>
          <w:sz w:val="22"/>
          <w:szCs w:val="22"/>
        </w:rPr>
      </w:pPr>
      <w:r w:rsidRPr="005D550B">
        <w:rPr>
          <w:rFonts w:ascii="Cambria" w:eastAsia="Cambria" w:hAnsi="Cambria" w:cs="Cambria"/>
          <w:sz w:val="22"/>
          <w:szCs w:val="22"/>
        </w:rPr>
        <w:t>Not available.</w:t>
      </w:r>
    </w:p>
    <w:p w14:paraId="3AFA8EDC" w14:textId="77777777" w:rsidR="00E06797" w:rsidRPr="005D550B" w:rsidRDefault="00E06797">
      <w:pPr>
        <w:rPr>
          <w:rFonts w:ascii="Cambria" w:eastAsia="Cambria" w:hAnsi="Cambria" w:cs="Cambria"/>
          <w:sz w:val="22"/>
          <w:szCs w:val="22"/>
        </w:rPr>
      </w:pPr>
    </w:p>
    <w:p w14:paraId="39476451" w14:textId="77777777" w:rsidR="00E06797" w:rsidRPr="005D550B" w:rsidRDefault="00A936EE">
      <w:pPr>
        <w:rPr>
          <w:rFonts w:ascii="Cambria" w:eastAsia="Cambria" w:hAnsi="Cambria" w:cs="Cambria"/>
          <w:b/>
          <w:bCs/>
          <w:sz w:val="24"/>
          <w:szCs w:val="24"/>
        </w:rPr>
      </w:pPr>
      <w:r w:rsidRPr="005D550B">
        <w:rPr>
          <w:rFonts w:ascii="Cambria" w:eastAsia="Cambria" w:hAnsi="Cambria" w:cs="Cambria"/>
          <w:b/>
          <w:bCs/>
          <w:sz w:val="24"/>
          <w:szCs w:val="24"/>
        </w:rPr>
        <w:t>Data Availability Statement</w:t>
      </w:r>
    </w:p>
    <w:p w14:paraId="6F55F502" w14:textId="023D0586" w:rsidR="00E06797" w:rsidRPr="005D550B" w:rsidRDefault="00364846">
      <w:pPr>
        <w:widowControl w:val="0"/>
        <w:tabs>
          <w:tab w:val="left" w:pos="630"/>
        </w:tabs>
        <w:rPr>
          <w:rFonts w:ascii="Cambria" w:eastAsia="Cambria" w:hAnsi="Cambria" w:cs="Cambria"/>
          <w:sz w:val="22"/>
          <w:szCs w:val="22"/>
        </w:rPr>
      </w:pPr>
      <w:r w:rsidRPr="005D550B">
        <w:rPr>
          <w:rFonts w:ascii="Cambria" w:eastAsia="Cambria" w:hAnsi="Cambria" w:cs="Cambria"/>
          <w:sz w:val="22"/>
          <w:szCs w:val="22"/>
        </w:rPr>
        <w:t>Not available.</w:t>
      </w:r>
    </w:p>
    <w:p w14:paraId="7A09A42B" w14:textId="77777777" w:rsidR="00364846" w:rsidRPr="005D550B" w:rsidRDefault="00364846">
      <w:pPr>
        <w:widowControl w:val="0"/>
        <w:tabs>
          <w:tab w:val="left" w:pos="630"/>
        </w:tabs>
        <w:rPr>
          <w:rFonts w:ascii="Cambria" w:eastAsia="Cambria" w:hAnsi="Cambria" w:cs="Cambria"/>
          <w:b/>
          <w:bCs/>
          <w:sz w:val="22"/>
          <w:szCs w:val="22"/>
        </w:rPr>
      </w:pPr>
    </w:p>
    <w:p w14:paraId="4FA53115" w14:textId="77777777" w:rsidR="00E06797" w:rsidRPr="005D550B" w:rsidRDefault="00A936EE">
      <w:pPr>
        <w:pBdr>
          <w:top w:val="nil"/>
          <w:left w:val="nil"/>
          <w:bottom w:val="nil"/>
          <w:right w:val="nil"/>
          <w:between w:val="nil"/>
        </w:pBdr>
        <w:shd w:val="clear" w:color="auto" w:fill="FFFFFF"/>
        <w:ind w:right="-115"/>
        <w:rPr>
          <w:rFonts w:ascii="Cambria" w:eastAsia="Cambria" w:hAnsi="Cambria" w:cs="Cambria"/>
          <w:b/>
          <w:bCs/>
          <w:color w:val="000000"/>
          <w:sz w:val="24"/>
          <w:szCs w:val="24"/>
        </w:rPr>
      </w:pPr>
      <w:r w:rsidRPr="005D550B">
        <w:rPr>
          <w:rFonts w:ascii="Cambria" w:eastAsia="Cambria" w:hAnsi="Cambria" w:cs="Cambria"/>
          <w:b/>
          <w:bCs/>
          <w:color w:val="000000"/>
          <w:sz w:val="24"/>
          <w:szCs w:val="24"/>
        </w:rPr>
        <w:t>Conflicts of Interest</w:t>
      </w:r>
    </w:p>
    <w:p w14:paraId="5F498B00" w14:textId="0C2808A0" w:rsidR="00E06797" w:rsidRDefault="00BE1763">
      <w:pPr>
        <w:widowControl w:val="0"/>
        <w:tabs>
          <w:tab w:val="left" w:pos="630"/>
        </w:tabs>
        <w:rPr>
          <w:rFonts w:ascii="Cambria" w:eastAsia="Cambria" w:hAnsi="Cambria" w:cs="Cambria"/>
          <w:sz w:val="22"/>
          <w:szCs w:val="22"/>
        </w:rPr>
      </w:pPr>
      <w:r w:rsidRPr="005D550B">
        <w:rPr>
          <w:rFonts w:ascii="Cambria" w:eastAsia="Cambria" w:hAnsi="Cambria" w:cs="Cambria"/>
          <w:sz w:val="22"/>
          <w:szCs w:val="22"/>
        </w:rPr>
        <w:t xml:space="preserve">The author </w:t>
      </w:r>
      <w:r w:rsidR="00D6424B" w:rsidRPr="005D550B">
        <w:rPr>
          <w:rFonts w:ascii="Cambria" w:eastAsia="Cambria" w:hAnsi="Cambria" w:cs="Cambria"/>
          <w:sz w:val="22"/>
          <w:szCs w:val="22"/>
        </w:rPr>
        <w:t>declares</w:t>
      </w:r>
      <w:r w:rsidRPr="005D550B">
        <w:rPr>
          <w:rFonts w:ascii="Cambria" w:eastAsia="Cambria" w:hAnsi="Cambria" w:cs="Cambria"/>
          <w:sz w:val="22"/>
          <w:szCs w:val="22"/>
        </w:rPr>
        <w:t xml:space="preserve"> no </w:t>
      </w:r>
      <w:r w:rsidR="00C25B28" w:rsidRPr="005D550B">
        <w:rPr>
          <w:rFonts w:ascii="Cambria" w:eastAsia="Cambria" w:hAnsi="Cambria" w:cs="Cambria"/>
          <w:sz w:val="22"/>
          <w:szCs w:val="22"/>
        </w:rPr>
        <w:t>conflict-of-interest</w:t>
      </w:r>
      <w:r w:rsidRPr="005D550B">
        <w:rPr>
          <w:rFonts w:ascii="Cambria" w:eastAsia="Cambria" w:hAnsi="Cambria" w:cs="Cambria"/>
          <w:sz w:val="22"/>
          <w:szCs w:val="22"/>
        </w:rPr>
        <w:t xml:space="preserve"> results.</w:t>
      </w:r>
    </w:p>
    <w:p w14:paraId="16366E9D" w14:textId="77777777" w:rsidR="00C25B28" w:rsidRPr="005D550B" w:rsidRDefault="00C25B28">
      <w:pPr>
        <w:widowControl w:val="0"/>
        <w:tabs>
          <w:tab w:val="left" w:pos="630"/>
        </w:tabs>
        <w:rPr>
          <w:rFonts w:ascii="Cambria" w:eastAsia="Cambria" w:hAnsi="Cambria" w:cs="Cambria"/>
          <w:sz w:val="22"/>
          <w:szCs w:val="22"/>
        </w:rPr>
      </w:pPr>
    </w:p>
    <w:p w14:paraId="23667983" w14:textId="77777777" w:rsidR="00E06797" w:rsidRPr="005D550B" w:rsidRDefault="00A936EE">
      <w:pPr>
        <w:widowControl w:val="0"/>
        <w:tabs>
          <w:tab w:val="left" w:pos="630"/>
        </w:tabs>
        <w:rPr>
          <w:rFonts w:ascii="Cambria" w:eastAsia="Cambria" w:hAnsi="Cambria" w:cs="Cambria"/>
          <w:b/>
          <w:bCs/>
          <w:sz w:val="22"/>
          <w:szCs w:val="22"/>
        </w:rPr>
      </w:pPr>
      <w:r w:rsidRPr="005D550B">
        <w:rPr>
          <w:rFonts w:ascii="Cambria" w:eastAsia="Cambria" w:hAnsi="Cambria" w:cs="Cambria"/>
          <w:b/>
          <w:bCs/>
          <w:sz w:val="22"/>
          <w:szCs w:val="22"/>
        </w:rPr>
        <w:t>Declaration of Generative AI Use</w:t>
      </w:r>
    </w:p>
    <w:p w14:paraId="2D504965" w14:textId="56D48442" w:rsidR="00E06797" w:rsidRPr="005D550B" w:rsidRDefault="00BE1763" w:rsidP="00BE1763">
      <w:pPr>
        <w:widowControl w:val="0"/>
        <w:tabs>
          <w:tab w:val="left" w:pos="426"/>
        </w:tabs>
        <w:rPr>
          <w:rFonts w:ascii="Cambria" w:eastAsia="Cambria" w:hAnsi="Cambria" w:cs="Cambria"/>
          <w:sz w:val="22"/>
          <w:szCs w:val="22"/>
        </w:rPr>
      </w:pPr>
      <w:r w:rsidRPr="005D550B">
        <w:rPr>
          <w:rFonts w:ascii="Cambria" w:eastAsia="Cambria" w:hAnsi="Cambria" w:cs="Cambria"/>
          <w:sz w:val="22"/>
          <w:szCs w:val="22"/>
        </w:rPr>
        <w:t>During the preparation of this work, the author used Grammarly to assist in improving grammar, clarity, and academic tone of the manuscript. After using this tool, the authors reviewed and edited the content as needed and took full responsibility for the content of the publication.</w:t>
      </w:r>
      <w:r w:rsidR="00A936EE" w:rsidRPr="005D550B">
        <w:rPr>
          <w:rFonts w:ascii="Cambria" w:eastAsia="Cambria" w:hAnsi="Cambria" w:cs="Cambria"/>
          <w:sz w:val="22"/>
          <w:szCs w:val="22"/>
        </w:rPr>
        <w:t xml:space="preserve"> </w:t>
      </w:r>
    </w:p>
    <w:p w14:paraId="7C1C6102" w14:textId="77777777" w:rsidR="00E06797" w:rsidRPr="005D550B" w:rsidRDefault="00E06797">
      <w:pPr>
        <w:widowControl w:val="0"/>
        <w:tabs>
          <w:tab w:val="left" w:pos="630"/>
        </w:tabs>
        <w:rPr>
          <w:rFonts w:ascii="Cambria" w:eastAsia="Cambria" w:hAnsi="Cambria" w:cs="Cambria"/>
          <w:sz w:val="22"/>
          <w:szCs w:val="22"/>
        </w:rPr>
      </w:pPr>
    </w:p>
    <w:p w14:paraId="67C28834" w14:textId="77777777" w:rsidR="00E06797" w:rsidRPr="005D550B" w:rsidRDefault="00A936EE">
      <w:pPr>
        <w:pBdr>
          <w:top w:val="nil"/>
          <w:left w:val="nil"/>
          <w:bottom w:val="nil"/>
          <w:right w:val="nil"/>
          <w:between w:val="nil"/>
        </w:pBdr>
        <w:shd w:val="clear" w:color="auto" w:fill="FFFFFF"/>
        <w:ind w:right="-115"/>
        <w:rPr>
          <w:rFonts w:ascii="Cambria" w:eastAsia="Cambria" w:hAnsi="Cambria" w:cs="Cambria"/>
          <w:color w:val="000000"/>
          <w:sz w:val="24"/>
          <w:szCs w:val="24"/>
        </w:rPr>
      </w:pPr>
      <w:r w:rsidRPr="005D550B">
        <w:rPr>
          <w:rFonts w:ascii="Cambria" w:eastAsia="Cambria" w:hAnsi="Cambria" w:cs="Cambria"/>
          <w:b/>
          <w:bCs/>
          <w:color w:val="000000"/>
          <w:sz w:val="24"/>
          <w:szCs w:val="24"/>
        </w:rPr>
        <w:t>Open Access</w:t>
      </w:r>
    </w:p>
    <w:p w14:paraId="2CF0241C" w14:textId="3023572F" w:rsidR="00E06797" w:rsidRPr="005D550B" w:rsidRDefault="00A936EE" w:rsidP="00D6424B">
      <w:pPr>
        <w:pBdr>
          <w:top w:val="nil"/>
          <w:left w:val="nil"/>
          <w:bottom w:val="nil"/>
          <w:right w:val="nil"/>
          <w:between w:val="nil"/>
        </w:pBdr>
        <w:shd w:val="clear" w:color="auto" w:fill="FFFFFF"/>
        <w:ind w:right="-115"/>
        <w:rPr>
          <w:rFonts w:ascii="Cambria" w:eastAsia="Cambria" w:hAnsi="Cambria" w:cs="Cambria"/>
          <w:color w:val="0000FF"/>
          <w:sz w:val="22"/>
          <w:szCs w:val="22"/>
        </w:rPr>
      </w:pPr>
      <w:r w:rsidRPr="005D550B">
        <w:rPr>
          <w:rFonts w:ascii="Cambria" w:eastAsia="Cambria" w:hAnsi="Cambria" w:cs="Cambria"/>
          <w:color w:val="333333"/>
          <w:sz w:val="22"/>
          <w:szCs w:val="22"/>
        </w:rPr>
        <w:t>©202</w:t>
      </w:r>
      <w:r w:rsidR="00A20D4F" w:rsidRPr="005D550B">
        <w:rPr>
          <w:rFonts w:ascii="Cambria" w:eastAsia="Cambria" w:hAnsi="Cambria" w:cs="Cambria"/>
          <w:color w:val="333333"/>
          <w:sz w:val="22"/>
          <w:szCs w:val="22"/>
        </w:rPr>
        <w:t>6</w:t>
      </w:r>
      <w:r w:rsidRPr="005D550B">
        <w:rPr>
          <w:rFonts w:ascii="Cambria" w:eastAsia="Cambria" w:hAnsi="Cambria" w:cs="Cambria"/>
          <w:color w:val="333333"/>
          <w:sz w:val="22"/>
          <w:szCs w:val="22"/>
        </w:rPr>
        <w:t>. The author. T</w:t>
      </w:r>
      <w:r w:rsidRPr="005D550B">
        <w:rPr>
          <w:rFonts w:ascii="Cambria" w:eastAsia="Cambria" w:hAnsi="Cambria" w:cs="Cambria"/>
          <w:color w:val="000000"/>
          <w:sz w:val="22"/>
          <w:szCs w:val="22"/>
        </w:rPr>
        <w:t xml:space="preserve">his article is licensed under a Creative Commons Attribution 4.0 International License, which permits use, sharing, adaptation, distribution and reproduction in any medium or format, as long as you give appropriate credit to the original author and the source, provide a link to the Creative Commons license, and indicate if changes were made. The images or other third-party material in this article are included in the article’s Creative Commons license, unless indicated otherwise in a credit line to the material. If material is not included in the article’s Creative Commons license and your intended use is not permitted by statutory regulation or exceeds the permitted use, you will need to obtain permission directly from the copyright holder. To view a copy of this license, visit: </w:t>
      </w:r>
      <w:hyperlink r:id="rId16">
        <w:r w:rsidRPr="005D550B">
          <w:rPr>
            <w:rFonts w:ascii="Cambria" w:eastAsia="Cambria" w:hAnsi="Cambria" w:cs="Cambria"/>
            <w:color w:val="0000FF"/>
            <w:sz w:val="22"/>
            <w:szCs w:val="22"/>
            <w:u w:val="single"/>
          </w:rPr>
          <w:t>http://creativecommons.org/licenses/by/4.0/</w:t>
        </w:r>
      </w:hyperlink>
    </w:p>
    <w:p w14:paraId="13A60B42" w14:textId="77777777" w:rsidR="00E06797" w:rsidRPr="005D550B" w:rsidRDefault="00E06797">
      <w:pPr>
        <w:pBdr>
          <w:top w:val="nil"/>
          <w:left w:val="nil"/>
          <w:bottom w:val="nil"/>
          <w:right w:val="nil"/>
          <w:between w:val="nil"/>
        </w:pBdr>
        <w:rPr>
          <w:rFonts w:ascii="Cambria" w:eastAsia="Cambria" w:hAnsi="Cambria" w:cs="Cambria"/>
          <w:sz w:val="22"/>
          <w:szCs w:val="22"/>
        </w:rPr>
      </w:pPr>
    </w:p>
    <w:p w14:paraId="33204DE6" w14:textId="04B516E7" w:rsidR="00E06797" w:rsidRPr="005D550B" w:rsidRDefault="00A936EE" w:rsidP="00A20D4F">
      <w:pPr>
        <w:widowControl w:val="0"/>
        <w:pBdr>
          <w:top w:val="nil"/>
          <w:left w:val="nil"/>
          <w:bottom w:val="nil"/>
          <w:right w:val="nil"/>
          <w:between w:val="nil"/>
        </w:pBdr>
        <w:tabs>
          <w:tab w:val="left" w:pos="360"/>
        </w:tabs>
        <w:rPr>
          <w:rFonts w:ascii="Cambria" w:eastAsia="Cambria" w:hAnsi="Cambria" w:cs="Cambria"/>
          <w:b/>
          <w:bCs/>
          <w:sz w:val="24"/>
          <w:szCs w:val="24"/>
        </w:rPr>
      </w:pPr>
      <w:r w:rsidRPr="005D550B">
        <w:rPr>
          <w:rFonts w:ascii="Cambria" w:eastAsia="Cambria" w:hAnsi="Cambria" w:cs="Cambria"/>
          <w:b/>
          <w:bCs/>
          <w:sz w:val="24"/>
          <w:szCs w:val="24"/>
        </w:rPr>
        <w:t>References</w:t>
      </w:r>
      <w:bookmarkStart w:id="2" w:name="_8dspmntlmh30" w:colFirst="0" w:colLast="0"/>
      <w:bookmarkEnd w:id="2"/>
    </w:p>
    <w:p w14:paraId="339C7E06" w14:textId="76269C5B"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Arifah, K. N., Handayani, I. G. A. K. R., &amp; Karjoko, L. (2024). </w:t>
      </w:r>
      <w:r w:rsidRPr="005D550B">
        <w:rPr>
          <w:rFonts w:asciiTheme="minorHAnsi" w:hAnsiTheme="minorHAnsi"/>
          <w:i/>
          <w:iCs/>
          <w:noProof/>
          <w:sz w:val="22"/>
          <w:szCs w:val="22"/>
        </w:rPr>
        <w:t xml:space="preserve">Incompatibility of </w:t>
      </w:r>
      <w:r w:rsidR="00BC3DDB" w:rsidRPr="005D550B">
        <w:rPr>
          <w:rFonts w:asciiTheme="minorHAnsi" w:hAnsiTheme="minorHAnsi"/>
          <w:i/>
          <w:iCs/>
          <w:noProof/>
          <w:sz w:val="22"/>
          <w:szCs w:val="22"/>
        </w:rPr>
        <w:t xml:space="preserve">national law and traditional law in geothermal energy exploration in </w:t>
      </w:r>
      <w:r w:rsidRPr="005D550B">
        <w:rPr>
          <w:rFonts w:asciiTheme="minorHAnsi" w:hAnsiTheme="minorHAnsi"/>
          <w:i/>
          <w:iCs/>
          <w:noProof/>
          <w:sz w:val="22"/>
          <w:szCs w:val="22"/>
        </w:rPr>
        <w:t>Manggarai, East Nusa Tenggara</w:t>
      </w:r>
      <w:r w:rsidRPr="005D550B">
        <w:rPr>
          <w:rFonts w:asciiTheme="minorHAnsi" w:hAnsiTheme="minorHAnsi"/>
          <w:noProof/>
          <w:sz w:val="22"/>
          <w:szCs w:val="22"/>
        </w:rPr>
        <w:t xml:space="preserve">. Atlantis Press SARL. </w:t>
      </w:r>
      <w:hyperlink r:id="rId17" w:history="1">
        <w:r w:rsidRPr="005D550B">
          <w:rPr>
            <w:rStyle w:val="Hyperlink"/>
            <w:rFonts w:asciiTheme="minorHAnsi" w:hAnsiTheme="minorHAnsi"/>
            <w:noProof/>
            <w:sz w:val="22"/>
            <w:szCs w:val="22"/>
          </w:rPr>
          <w:t>https://doi.org/10.2991/978-2-38476-218-7_113</w:t>
        </w:r>
      </w:hyperlink>
      <w:r w:rsidRPr="005D550B">
        <w:rPr>
          <w:rFonts w:asciiTheme="minorHAnsi" w:hAnsiTheme="minorHAnsi"/>
          <w:noProof/>
          <w:sz w:val="22"/>
          <w:szCs w:val="22"/>
        </w:rPr>
        <w:t xml:space="preserve"> </w:t>
      </w:r>
    </w:p>
    <w:p w14:paraId="159B8379" w14:textId="3A2C05CC"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Astuti, R., Raman, S., &amp; Yeremia, A. E. (2025). Putting community-centric justice into just transitions from the Global South: the case of Indonesia’s nickel sector. </w:t>
      </w:r>
      <w:r w:rsidRPr="005D550B">
        <w:rPr>
          <w:rFonts w:asciiTheme="minorHAnsi" w:hAnsiTheme="minorHAnsi"/>
          <w:i/>
          <w:iCs/>
          <w:noProof/>
          <w:sz w:val="22"/>
          <w:szCs w:val="22"/>
        </w:rPr>
        <w:t xml:space="preserve">Environmental Research Letters </w:t>
      </w:r>
      <w:r w:rsidRPr="005D550B">
        <w:rPr>
          <w:rFonts w:asciiTheme="minorHAnsi" w:hAnsiTheme="minorHAnsi"/>
          <w:noProof/>
          <w:sz w:val="22"/>
          <w:szCs w:val="22"/>
        </w:rPr>
        <w:t xml:space="preserve">, </w:t>
      </w:r>
      <w:r w:rsidRPr="005D550B">
        <w:rPr>
          <w:rFonts w:asciiTheme="minorHAnsi" w:hAnsiTheme="minorHAnsi"/>
          <w:i/>
          <w:iCs/>
          <w:noProof/>
          <w:sz w:val="22"/>
          <w:szCs w:val="22"/>
        </w:rPr>
        <w:t>20</w:t>
      </w:r>
      <w:r w:rsidRPr="005D550B">
        <w:rPr>
          <w:rFonts w:asciiTheme="minorHAnsi" w:hAnsiTheme="minorHAnsi"/>
          <w:noProof/>
          <w:sz w:val="22"/>
          <w:szCs w:val="22"/>
        </w:rPr>
        <w:t xml:space="preserve">(5). </w:t>
      </w:r>
      <w:hyperlink r:id="rId18" w:history="1">
        <w:r w:rsidRPr="005D550B">
          <w:rPr>
            <w:rStyle w:val="Hyperlink"/>
            <w:rFonts w:asciiTheme="minorHAnsi" w:hAnsiTheme="minorHAnsi"/>
            <w:noProof/>
            <w:sz w:val="22"/>
            <w:szCs w:val="22"/>
          </w:rPr>
          <w:t>https://doi.org/10.1088/1748-9326/adc8b9</w:t>
        </w:r>
      </w:hyperlink>
      <w:r w:rsidRPr="005D550B">
        <w:rPr>
          <w:rFonts w:asciiTheme="minorHAnsi" w:hAnsiTheme="minorHAnsi"/>
          <w:noProof/>
          <w:sz w:val="22"/>
          <w:szCs w:val="22"/>
        </w:rPr>
        <w:t xml:space="preserve"> </w:t>
      </w:r>
    </w:p>
    <w:p w14:paraId="0A0F83E4" w14:textId="12E27E89"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Badan Pusat Statistik. (2025). </w:t>
      </w:r>
      <w:r w:rsidRPr="005D550B">
        <w:rPr>
          <w:rFonts w:asciiTheme="minorHAnsi" w:hAnsiTheme="minorHAnsi"/>
          <w:i/>
          <w:iCs/>
          <w:noProof/>
          <w:sz w:val="22"/>
          <w:szCs w:val="22"/>
        </w:rPr>
        <w:t xml:space="preserve">Jumlah dan </w:t>
      </w:r>
      <w:r w:rsidR="00BC3DDB" w:rsidRPr="005D550B">
        <w:rPr>
          <w:rFonts w:asciiTheme="minorHAnsi" w:hAnsiTheme="minorHAnsi"/>
          <w:i/>
          <w:iCs/>
          <w:noProof/>
          <w:sz w:val="22"/>
          <w:szCs w:val="22"/>
        </w:rPr>
        <w:t>persentase penduduk miskin menurut provinsi</w:t>
      </w:r>
      <w:r w:rsidRPr="005D550B">
        <w:rPr>
          <w:rFonts w:asciiTheme="minorHAnsi" w:hAnsiTheme="minorHAnsi"/>
          <w:i/>
          <w:iCs/>
          <w:noProof/>
          <w:sz w:val="22"/>
          <w:szCs w:val="22"/>
        </w:rPr>
        <w:t>, 2024</w:t>
      </w:r>
      <w:r w:rsidRPr="005D550B">
        <w:rPr>
          <w:rFonts w:asciiTheme="minorHAnsi" w:hAnsiTheme="minorHAnsi"/>
          <w:noProof/>
          <w:sz w:val="22"/>
          <w:szCs w:val="22"/>
        </w:rPr>
        <w:t>.</w:t>
      </w:r>
      <w:r w:rsidR="00D6424B" w:rsidRPr="005D550B">
        <w:rPr>
          <w:rFonts w:asciiTheme="minorHAnsi" w:hAnsiTheme="minorHAnsi"/>
          <w:noProof/>
          <w:sz w:val="22"/>
          <w:szCs w:val="22"/>
        </w:rPr>
        <w:t xml:space="preserve"> BPS Indonesia.</w:t>
      </w:r>
      <w:r w:rsidRPr="005D550B">
        <w:rPr>
          <w:rFonts w:asciiTheme="minorHAnsi" w:hAnsiTheme="minorHAnsi"/>
          <w:noProof/>
          <w:sz w:val="22"/>
          <w:szCs w:val="22"/>
        </w:rPr>
        <w:t xml:space="preserve"> </w:t>
      </w:r>
    </w:p>
    <w:p w14:paraId="10436785" w14:textId="2DBBD56D"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Barbosa, L. P., &amp; Nóbrega, L. N. (2025). From </w:t>
      </w:r>
      <w:r w:rsidR="00BC3DDB" w:rsidRPr="005D550B">
        <w:rPr>
          <w:rFonts w:asciiTheme="minorHAnsi" w:hAnsiTheme="minorHAnsi"/>
          <w:noProof/>
          <w:sz w:val="22"/>
          <w:szCs w:val="22"/>
        </w:rPr>
        <w:t>the agrarian question to the territorial question</w:t>
      </w:r>
      <w:r w:rsidRPr="005D550B">
        <w:rPr>
          <w:rFonts w:asciiTheme="minorHAnsi" w:hAnsiTheme="minorHAnsi"/>
          <w:noProof/>
          <w:sz w:val="22"/>
          <w:szCs w:val="22"/>
        </w:rPr>
        <w:t xml:space="preserve">: Green </w:t>
      </w:r>
      <w:r w:rsidR="00BC3DDB" w:rsidRPr="005D550B">
        <w:rPr>
          <w:rFonts w:asciiTheme="minorHAnsi" w:hAnsiTheme="minorHAnsi"/>
          <w:noProof/>
          <w:sz w:val="22"/>
          <w:szCs w:val="22"/>
        </w:rPr>
        <w:t xml:space="preserve">grabbing and the corridors of extractivist dispossession </w:t>
      </w:r>
      <w:r w:rsidRPr="005D550B">
        <w:rPr>
          <w:rFonts w:asciiTheme="minorHAnsi" w:hAnsiTheme="minorHAnsi"/>
          <w:noProof/>
          <w:sz w:val="22"/>
          <w:szCs w:val="22"/>
        </w:rPr>
        <w:t xml:space="preserve">in Latin America. </w:t>
      </w:r>
      <w:r w:rsidRPr="005D550B">
        <w:rPr>
          <w:rFonts w:asciiTheme="minorHAnsi" w:hAnsiTheme="minorHAnsi"/>
          <w:i/>
          <w:iCs/>
          <w:noProof/>
          <w:sz w:val="22"/>
          <w:szCs w:val="22"/>
        </w:rPr>
        <w:t>Land</w:t>
      </w:r>
      <w:r w:rsidRPr="005D550B">
        <w:rPr>
          <w:rFonts w:asciiTheme="minorHAnsi" w:hAnsiTheme="minorHAnsi"/>
          <w:noProof/>
          <w:sz w:val="22"/>
          <w:szCs w:val="22"/>
        </w:rPr>
        <w:t xml:space="preserve">, </w:t>
      </w:r>
      <w:r w:rsidRPr="005D550B">
        <w:rPr>
          <w:rFonts w:asciiTheme="minorHAnsi" w:hAnsiTheme="minorHAnsi"/>
          <w:i/>
          <w:iCs/>
          <w:noProof/>
          <w:sz w:val="22"/>
          <w:szCs w:val="22"/>
        </w:rPr>
        <w:t>14</w:t>
      </w:r>
      <w:r w:rsidRPr="005D550B">
        <w:rPr>
          <w:rFonts w:asciiTheme="minorHAnsi" w:hAnsiTheme="minorHAnsi"/>
          <w:noProof/>
          <w:sz w:val="22"/>
          <w:szCs w:val="22"/>
        </w:rPr>
        <w:t xml:space="preserve">(5), 1–26. </w:t>
      </w:r>
      <w:hyperlink r:id="rId19" w:history="1">
        <w:r w:rsidRPr="005D550B">
          <w:rPr>
            <w:rStyle w:val="Hyperlink"/>
            <w:rFonts w:asciiTheme="minorHAnsi" w:hAnsiTheme="minorHAnsi"/>
            <w:noProof/>
            <w:sz w:val="22"/>
            <w:szCs w:val="22"/>
          </w:rPr>
          <w:t>https://doi.org/10.3390/land14051104</w:t>
        </w:r>
      </w:hyperlink>
      <w:r w:rsidRPr="005D550B">
        <w:rPr>
          <w:rFonts w:asciiTheme="minorHAnsi" w:hAnsiTheme="minorHAnsi"/>
          <w:noProof/>
          <w:sz w:val="22"/>
          <w:szCs w:val="22"/>
        </w:rPr>
        <w:t xml:space="preserve"> </w:t>
      </w:r>
    </w:p>
    <w:p w14:paraId="04E71ACF" w14:textId="30589F94"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Brockhaus, M., Kan, A., Mfoulou, A., Assembe-Mvondo, S., Chacgom, A., Thomas, G. J., Kengoum, F., Naito, D., Varkkey, H., &amp; Wong, G. Y. (2025). Forest land deals, resistance, </w:t>
      </w:r>
      <w:r w:rsidRPr="005D550B">
        <w:rPr>
          <w:rFonts w:asciiTheme="minorHAnsi" w:hAnsiTheme="minorHAnsi"/>
          <w:noProof/>
          <w:sz w:val="22"/>
          <w:szCs w:val="22"/>
        </w:rPr>
        <w:lastRenderedPageBreak/>
        <w:t xml:space="preserve">and legitimisation – a comparative analysis of discourse coalitions and silent actors in Cameroon and Malaysia. </w:t>
      </w:r>
      <w:r w:rsidRPr="005D550B">
        <w:rPr>
          <w:rFonts w:asciiTheme="minorHAnsi" w:hAnsiTheme="minorHAnsi"/>
          <w:i/>
          <w:iCs/>
          <w:noProof/>
          <w:sz w:val="22"/>
          <w:szCs w:val="22"/>
        </w:rPr>
        <w:t>Third World Quarterly</w:t>
      </w:r>
      <w:r w:rsidRPr="005D550B">
        <w:rPr>
          <w:rFonts w:asciiTheme="minorHAnsi" w:hAnsiTheme="minorHAnsi"/>
          <w:noProof/>
          <w:sz w:val="22"/>
          <w:szCs w:val="22"/>
        </w:rPr>
        <w:t xml:space="preserve">, </w:t>
      </w:r>
      <w:r w:rsidRPr="005D550B">
        <w:rPr>
          <w:rFonts w:asciiTheme="minorHAnsi" w:hAnsiTheme="minorHAnsi"/>
          <w:i/>
          <w:iCs/>
          <w:noProof/>
          <w:sz w:val="22"/>
          <w:szCs w:val="22"/>
        </w:rPr>
        <w:t>0</w:t>
      </w:r>
      <w:r w:rsidRPr="005D550B">
        <w:rPr>
          <w:rFonts w:asciiTheme="minorHAnsi" w:hAnsiTheme="minorHAnsi"/>
          <w:noProof/>
          <w:sz w:val="22"/>
          <w:szCs w:val="22"/>
        </w:rPr>
        <w:t xml:space="preserve">(0), 1–22. </w:t>
      </w:r>
      <w:hyperlink r:id="rId20" w:history="1">
        <w:r w:rsidRPr="005D550B">
          <w:rPr>
            <w:rStyle w:val="Hyperlink"/>
            <w:rFonts w:asciiTheme="minorHAnsi" w:hAnsiTheme="minorHAnsi"/>
            <w:noProof/>
            <w:sz w:val="22"/>
            <w:szCs w:val="22"/>
          </w:rPr>
          <w:t>https://doi.org/10.1080/01436597.2025.2555484</w:t>
        </w:r>
      </w:hyperlink>
      <w:r w:rsidRPr="005D550B">
        <w:rPr>
          <w:rFonts w:asciiTheme="minorHAnsi" w:hAnsiTheme="minorHAnsi"/>
          <w:noProof/>
          <w:sz w:val="22"/>
          <w:szCs w:val="22"/>
        </w:rPr>
        <w:t xml:space="preserve"> </w:t>
      </w:r>
    </w:p>
    <w:p w14:paraId="30FC213C" w14:textId="604F8793"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Buku, K. R., Ursula, S. S., Dalima, V., Ursula, S. S., Wawo, H. R., &amp; Ursula, S. S. (2025). </w:t>
      </w:r>
      <w:r w:rsidRPr="005D550B">
        <w:rPr>
          <w:rFonts w:asciiTheme="minorHAnsi" w:hAnsiTheme="minorHAnsi"/>
          <w:i/>
          <w:iCs/>
          <w:noProof/>
          <w:sz w:val="22"/>
          <w:szCs w:val="22"/>
        </w:rPr>
        <w:t xml:space="preserve">Indigenous </w:t>
      </w:r>
      <w:r w:rsidR="00BC3DDB" w:rsidRPr="005D550B">
        <w:rPr>
          <w:rFonts w:asciiTheme="minorHAnsi" w:hAnsiTheme="minorHAnsi"/>
          <w:i/>
          <w:iCs/>
          <w:noProof/>
          <w:sz w:val="22"/>
          <w:szCs w:val="22"/>
        </w:rPr>
        <w:t>peoples’ rights and development govern</w:t>
      </w:r>
      <w:r w:rsidRPr="005D550B">
        <w:rPr>
          <w:rFonts w:asciiTheme="minorHAnsi" w:hAnsiTheme="minorHAnsi"/>
          <w:i/>
          <w:iCs/>
          <w:noProof/>
          <w:sz w:val="22"/>
          <w:szCs w:val="22"/>
        </w:rPr>
        <w:t xml:space="preserve">ance : Evaluating FPIC </w:t>
      </w:r>
      <w:r w:rsidR="00BC3DDB">
        <w:rPr>
          <w:rFonts w:asciiTheme="minorHAnsi" w:hAnsiTheme="minorHAnsi"/>
          <w:i/>
          <w:iCs/>
          <w:noProof/>
          <w:sz w:val="22"/>
          <w:szCs w:val="22"/>
        </w:rPr>
        <w:t>c</w:t>
      </w:r>
      <w:r w:rsidRPr="005D550B">
        <w:rPr>
          <w:rFonts w:asciiTheme="minorHAnsi" w:hAnsiTheme="minorHAnsi"/>
          <w:i/>
          <w:iCs/>
          <w:noProof/>
          <w:sz w:val="22"/>
          <w:szCs w:val="22"/>
        </w:rPr>
        <w:t xml:space="preserve">ompliance in </w:t>
      </w:r>
      <w:r w:rsidR="00BC3DDB">
        <w:rPr>
          <w:rFonts w:asciiTheme="minorHAnsi" w:hAnsiTheme="minorHAnsi"/>
          <w:i/>
          <w:iCs/>
          <w:noProof/>
          <w:sz w:val="22"/>
          <w:szCs w:val="22"/>
        </w:rPr>
        <w:t>g</w:t>
      </w:r>
      <w:r w:rsidRPr="005D550B">
        <w:rPr>
          <w:rFonts w:asciiTheme="minorHAnsi" w:hAnsiTheme="minorHAnsi"/>
          <w:i/>
          <w:iCs/>
          <w:noProof/>
          <w:sz w:val="22"/>
          <w:szCs w:val="22"/>
        </w:rPr>
        <w:t>eothermal Power Development</w:t>
      </w:r>
      <w:r w:rsidRPr="005D550B">
        <w:rPr>
          <w:rFonts w:asciiTheme="minorHAnsi" w:hAnsiTheme="minorHAnsi"/>
          <w:noProof/>
          <w:sz w:val="22"/>
          <w:szCs w:val="22"/>
        </w:rPr>
        <w:t>.</w:t>
      </w:r>
    </w:p>
    <w:p w14:paraId="5393D0D0" w14:textId="197E59DC"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Chandrasekharam, D., Lashin, A., Al Arifi, N., Al-Bassam, A. M., &amp; Chandrasekhar, V. (2020). Geothermal energy for sustainable water resources management. </w:t>
      </w:r>
      <w:r w:rsidRPr="005D550B">
        <w:rPr>
          <w:rFonts w:asciiTheme="minorHAnsi" w:hAnsiTheme="minorHAnsi"/>
          <w:i/>
          <w:iCs/>
          <w:noProof/>
          <w:sz w:val="22"/>
          <w:szCs w:val="22"/>
        </w:rPr>
        <w:t>International Journal of Green Energy</w:t>
      </w:r>
      <w:r w:rsidRPr="005D550B">
        <w:rPr>
          <w:rFonts w:asciiTheme="minorHAnsi" w:hAnsiTheme="minorHAnsi"/>
          <w:noProof/>
          <w:sz w:val="22"/>
          <w:szCs w:val="22"/>
        </w:rPr>
        <w:t xml:space="preserve">, </w:t>
      </w:r>
      <w:r w:rsidRPr="005D550B">
        <w:rPr>
          <w:rFonts w:asciiTheme="minorHAnsi" w:hAnsiTheme="minorHAnsi"/>
          <w:i/>
          <w:iCs/>
          <w:noProof/>
          <w:sz w:val="22"/>
          <w:szCs w:val="22"/>
        </w:rPr>
        <w:t>17</w:t>
      </w:r>
      <w:r w:rsidRPr="005D550B">
        <w:rPr>
          <w:rFonts w:asciiTheme="minorHAnsi" w:hAnsiTheme="minorHAnsi"/>
          <w:noProof/>
          <w:sz w:val="22"/>
          <w:szCs w:val="22"/>
        </w:rPr>
        <w:t xml:space="preserve">(1), 1–12. </w:t>
      </w:r>
      <w:hyperlink r:id="rId21" w:history="1">
        <w:r w:rsidRPr="005D550B">
          <w:rPr>
            <w:rStyle w:val="Hyperlink"/>
            <w:rFonts w:asciiTheme="minorHAnsi" w:hAnsiTheme="minorHAnsi"/>
            <w:noProof/>
            <w:sz w:val="22"/>
            <w:szCs w:val="22"/>
          </w:rPr>
          <w:t>https://doi.org/10.1080/15435075.2019.1685998</w:t>
        </w:r>
      </w:hyperlink>
      <w:r w:rsidRPr="005D550B">
        <w:rPr>
          <w:rFonts w:asciiTheme="minorHAnsi" w:hAnsiTheme="minorHAnsi"/>
          <w:noProof/>
          <w:sz w:val="22"/>
          <w:szCs w:val="22"/>
        </w:rPr>
        <w:t xml:space="preserve"> </w:t>
      </w:r>
    </w:p>
    <w:p w14:paraId="68BEA97B" w14:textId="4A538144"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Dorn, F. M. (2022). </w:t>
      </w:r>
      <w:r w:rsidRPr="005D550B">
        <w:rPr>
          <w:rFonts w:asciiTheme="minorHAnsi" w:hAnsiTheme="minorHAnsi"/>
          <w:i/>
          <w:iCs/>
          <w:noProof/>
          <w:sz w:val="22"/>
          <w:szCs w:val="22"/>
        </w:rPr>
        <w:t xml:space="preserve">European </w:t>
      </w:r>
      <w:r w:rsidR="000912ED" w:rsidRPr="005D550B">
        <w:rPr>
          <w:rFonts w:asciiTheme="minorHAnsi" w:hAnsiTheme="minorHAnsi"/>
          <w:i/>
          <w:iCs/>
          <w:noProof/>
          <w:sz w:val="22"/>
          <w:szCs w:val="22"/>
        </w:rPr>
        <w:t xml:space="preserve">review of latin </w:t>
      </w:r>
      <w:r w:rsidRPr="005D550B">
        <w:rPr>
          <w:rFonts w:asciiTheme="minorHAnsi" w:hAnsiTheme="minorHAnsi"/>
          <w:i/>
          <w:iCs/>
          <w:noProof/>
          <w:sz w:val="22"/>
          <w:szCs w:val="22"/>
        </w:rPr>
        <w:t xml:space="preserve">American and Caribbean </w:t>
      </w:r>
      <w:r w:rsidR="000912ED" w:rsidRPr="005D550B">
        <w:rPr>
          <w:rFonts w:asciiTheme="minorHAnsi" w:hAnsiTheme="minorHAnsi"/>
          <w:i/>
          <w:iCs/>
          <w:noProof/>
          <w:sz w:val="22"/>
          <w:szCs w:val="22"/>
        </w:rPr>
        <w:t xml:space="preserve">studies revista </w:t>
      </w:r>
      <w:r w:rsidRPr="005D550B">
        <w:rPr>
          <w:rFonts w:asciiTheme="minorHAnsi" w:hAnsiTheme="minorHAnsi"/>
          <w:i/>
          <w:iCs/>
          <w:noProof/>
          <w:sz w:val="22"/>
          <w:szCs w:val="22"/>
        </w:rPr>
        <w:t xml:space="preserve">Europea de Estudios Latinoamericanos y del Caribe </w:t>
      </w:r>
      <w:r w:rsidR="000912ED">
        <w:rPr>
          <w:rFonts w:asciiTheme="minorHAnsi" w:hAnsiTheme="minorHAnsi"/>
          <w:i/>
          <w:iCs/>
          <w:noProof/>
          <w:sz w:val="22"/>
          <w:szCs w:val="22"/>
        </w:rPr>
        <w:t>e</w:t>
      </w:r>
      <w:r w:rsidRPr="005D550B">
        <w:rPr>
          <w:rFonts w:asciiTheme="minorHAnsi" w:hAnsiTheme="minorHAnsi"/>
          <w:i/>
          <w:iCs/>
          <w:noProof/>
          <w:sz w:val="22"/>
          <w:szCs w:val="22"/>
        </w:rPr>
        <w:t xml:space="preserve">xplorations | </w:t>
      </w:r>
      <w:r w:rsidR="000912ED">
        <w:rPr>
          <w:rFonts w:asciiTheme="minorHAnsi" w:hAnsiTheme="minorHAnsi"/>
          <w:i/>
          <w:iCs/>
          <w:noProof/>
          <w:sz w:val="22"/>
          <w:szCs w:val="22"/>
        </w:rPr>
        <w:t>e</w:t>
      </w:r>
      <w:r w:rsidRPr="005D550B">
        <w:rPr>
          <w:rFonts w:asciiTheme="minorHAnsi" w:hAnsiTheme="minorHAnsi"/>
          <w:i/>
          <w:iCs/>
          <w:noProof/>
          <w:sz w:val="22"/>
          <w:szCs w:val="22"/>
        </w:rPr>
        <w:t>xploraciones</w:t>
      </w:r>
      <w:r w:rsidRPr="005D550B">
        <w:rPr>
          <w:rFonts w:asciiTheme="minorHAnsi" w:hAnsiTheme="minorHAnsi"/>
          <w:noProof/>
          <w:sz w:val="22"/>
          <w:szCs w:val="22"/>
        </w:rPr>
        <w:t xml:space="preserve">. </w:t>
      </w:r>
      <w:r w:rsidRPr="005D550B">
        <w:rPr>
          <w:rFonts w:asciiTheme="minorHAnsi" w:hAnsiTheme="minorHAnsi"/>
          <w:i/>
          <w:iCs/>
          <w:noProof/>
          <w:sz w:val="22"/>
          <w:szCs w:val="22"/>
        </w:rPr>
        <w:t>114</w:t>
      </w:r>
      <w:r w:rsidRPr="005D550B">
        <w:rPr>
          <w:rFonts w:asciiTheme="minorHAnsi" w:hAnsiTheme="minorHAnsi"/>
          <w:noProof/>
          <w:sz w:val="22"/>
          <w:szCs w:val="22"/>
        </w:rPr>
        <w:t xml:space="preserve">(114), 137–146. </w:t>
      </w:r>
      <w:hyperlink r:id="rId22" w:history="1">
        <w:r w:rsidRPr="005D550B">
          <w:rPr>
            <w:rStyle w:val="Hyperlink"/>
            <w:rFonts w:asciiTheme="minorHAnsi" w:hAnsiTheme="minorHAnsi"/>
            <w:noProof/>
            <w:sz w:val="22"/>
            <w:szCs w:val="22"/>
          </w:rPr>
          <w:t>www.erlacs.org</w:t>
        </w:r>
      </w:hyperlink>
      <w:r w:rsidRPr="005D550B">
        <w:rPr>
          <w:rFonts w:asciiTheme="minorHAnsi" w:hAnsiTheme="minorHAnsi"/>
          <w:noProof/>
          <w:sz w:val="22"/>
          <w:szCs w:val="22"/>
        </w:rPr>
        <w:t xml:space="preserve"> </w:t>
      </w:r>
    </w:p>
    <w:p w14:paraId="7578BF6D" w14:textId="362C2B31"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Elliott, L., &amp; Setyowati, A. B. (2020). Toward a </w:t>
      </w:r>
      <w:r w:rsidR="00BC3DDB" w:rsidRPr="005D550B">
        <w:rPr>
          <w:rFonts w:asciiTheme="minorHAnsi" w:hAnsiTheme="minorHAnsi"/>
          <w:noProof/>
          <w:sz w:val="22"/>
          <w:szCs w:val="22"/>
        </w:rPr>
        <w:t xml:space="preserve">socially just transition to low carbon development: the case of </w:t>
      </w:r>
      <w:r w:rsidRPr="005D550B">
        <w:rPr>
          <w:rFonts w:asciiTheme="minorHAnsi" w:hAnsiTheme="minorHAnsi"/>
          <w:noProof/>
          <w:sz w:val="22"/>
          <w:szCs w:val="22"/>
        </w:rPr>
        <w:t xml:space="preserve">Indonesia. </w:t>
      </w:r>
      <w:r w:rsidRPr="005D550B">
        <w:rPr>
          <w:rFonts w:asciiTheme="minorHAnsi" w:hAnsiTheme="minorHAnsi"/>
          <w:i/>
          <w:iCs/>
          <w:noProof/>
          <w:sz w:val="22"/>
          <w:szCs w:val="22"/>
        </w:rPr>
        <w:t>Asian Affairs</w:t>
      </w:r>
      <w:r w:rsidRPr="005D550B">
        <w:rPr>
          <w:rFonts w:asciiTheme="minorHAnsi" w:hAnsiTheme="minorHAnsi"/>
          <w:noProof/>
          <w:sz w:val="22"/>
          <w:szCs w:val="22"/>
        </w:rPr>
        <w:t xml:space="preserve">, </w:t>
      </w:r>
      <w:r w:rsidRPr="005D550B">
        <w:rPr>
          <w:rFonts w:asciiTheme="minorHAnsi" w:hAnsiTheme="minorHAnsi"/>
          <w:i/>
          <w:iCs/>
          <w:noProof/>
          <w:sz w:val="22"/>
          <w:szCs w:val="22"/>
        </w:rPr>
        <w:t>51</w:t>
      </w:r>
      <w:r w:rsidRPr="005D550B">
        <w:rPr>
          <w:rFonts w:asciiTheme="minorHAnsi" w:hAnsiTheme="minorHAnsi"/>
          <w:noProof/>
          <w:sz w:val="22"/>
          <w:szCs w:val="22"/>
        </w:rPr>
        <w:t xml:space="preserve">(4), 875–894. </w:t>
      </w:r>
      <w:hyperlink r:id="rId23" w:history="1">
        <w:r w:rsidRPr="005D550B">
          <w:rPr>
            <w:rStyle w:val="Hyperlink"/>
            <w:rFonts w:asciiTheme="minorHAnsi" w:hAnsiTheme="minorHAnsi"/>
            <w:noProof/>
            <w:sz w:val="22"/>
            <w:szCs w:val="22"/>
          </w:rPr>
          <w:t>https://doi.org/10.1080/03068374.2020.1835000</w:t>
        </w:r>
      </w:hyperlink>
      <w:r w:rsidRPr="005D550B">
        <w:rPr>
          <w:rFonts w:asciiTheme="minorHAnsi" w:hAnsiTheme="minorHAnsi"/>
          <w:noProof/>
          <w:sz w:val="22"/>
          <w:szCs w:val="22"/>
        </w:rPr>
        <w:t xml:space="preserve"> </w:t>
      </w:r>
    </w:p>
    <w:p w14:paraId="3454C072" w14:textId="3EF8E5D1"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Esteve-Jordà, C., &amp; Scheidel, A. (2026). Green grabbing implications for human rights, equity and the ecological transition. </w:t>
      </w:r>
      <w:r w:rsidRPr="005D550B">
        <w:rPr>
          <w:rFonts w:asciiTheme="minorHAnsi" w:hAnsiTheme="minorHAnsi"/>
          <w:i/>
          <w:iCs/>
          <w:noProof/>
          <w:sz w:val="22"/>
          <w:szCs w:val="22"/>
        </w:rPr>
        <w:t>Sustainability Science</w:t>
      </w:r>
      <w:r w:rsidRPr="005D550B">
        <w:rPr>
          <w:rFonts w:asciiTheme="minorHAnsi" w:hAnsiTheme="minorHAnsi"/>
          <w:noProof/>
          <w:sz w:val="22"/>
          <w:szCs w:val="22"/>
        </w:rPr>
        <w:t xml:space="preserve">, </w:t>
      </w:r>
      <w:r w:rsidRPr="005D550B">
        <w:rPr>
          <w:rFonts w:asciiTheme="minorHAnsi" w:hAnsiTheme="minorHAnsi"/>
          <w:i/>
          <w:iCs/>
          <w:noProof/>
          <w:sz w:val="22"/>
          <w:szCs w:val="22"/>
        </w:rPr>
        <w:t>Kurniawan 2025</w:t>
      </w:r>
      <w:r w:rsidRPr="005D550B">
        <w:rPr>
          <w:rFonts w:asciiTheme="minorHAnsi" w:hAnsiTheme="minorHAnsi"/>
          <w:noProof/>
          <w:sz w:val="22"/>
          <w:szCs w:val="22"/>
        </w:rPr>
        <w:t xml:space="preserve">. </w:t>
      </w:r>
      <w:hyperlink r:id="rId24" w:history="1">
        <w:r w:rsidRPr="005D550B">
          <w:rPr>
            <w:rStyle w:val="Hyperlink"/>
            <w:rFonts w:asciiTheme="minorHAnsi" w:hAnsiTheme="minorHAnsi"/>
            <w:noProof/>
            <w:sz w:val="22"/>
            <w:szCs w:val="22"/>
          </w:rPr>
          <w:t>https://doi.org/10.1007/s11625-026-01830-y</w:t>
        </w:r>
      </w:hyperlink>
      <w:r w:rsidRPr="005D550B">
        <w:rPr>
          <w:rFonts w:asciiTheme="minorHAnsi" w:hAnsiTheme="minorHAnsi"/>
          <w:noProof/>
          <w:sz w:val="22"/>
          <w:szCs w:val="22"/>
        </w:rPr>
        <w:t xml:space="preserve"> </w:t>
      </w:r>
    </w:p>
    <w:p w14:paraId="32679508" w14:textId="03AB25D9"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Hamouchene, H. (2023). The </w:t>
      </w:r>
      <w:r w:rsidR="00BC3DDB" w:rsidRPr="005D550B">
        <w:rPr>
          <w:rFonts w:asciiTheme="minorHAnsi" w:hAnsiTheme="minorHAnsi"/>
          <w:noProof/>
          <w:sz w:val="22"/>
          <w:szCs w:val="22"/>
        </w:rPr>
        <w:t xml:space="preserve">energy transition in </w:t>
      </w:r>
      <w:r w:rsidRPr="005D550B">
        <w:rPr>
          <w:rFonts w:asciiTheme="minorHAnsi" w:hAnsiTheme="minorHAnsi"/>
          <w:noProof/>
          <w:sz w:val="22"/>
          <w:szCs w:val="22"/>
        </w:rPr>
        <w:t xml:space="preserve">North Africa: Neocolonialism </w:t>
      </w:r>
      <w:r w:rsidR="00BC3DDB">
        <w:rPr>
          <w:rFonts w:asciiTheme="minorHAnsi" w:hAnsiTheme="minorHAnsi"/>
          <w:noProof/>
          <w:sz w:val="22"/>
          <w:szCs w:val="22"/>
        </w:rPr>
        <w:t>a</w:t>
      </w:r>
      <w:r w:rsidRPr="005D550B">
        <w:rPr>
          <w:rFonts w:asciiTheme="minorHAnsi" w:hAnsiTheme="minorHAnsi"/>
          <w:noProof/>
          <w:sz w:val="22"/>
          <w:szCs w:val="22"/>
        </w:rPr>
        <w:t xml:space="preserve">gain! </w:t>
      </w:r>
      <w:r w:rsidRPr="005D550B">
        <w:rPr>
          <w:rFonts w:asciiTheme="minorHAnsi" w:hAnsiTheme="minorHAnsi"/>
          <w:i/>
          <w:iCs/>
          <w:noProof/>
          <w:sz w:val="22"/>
          <w:szCs w:val="22"/>
        </w:rPr>
        <w:t>Dismantling Green Colonialism: Energy and Climate Justice in the Arab Region</w:t>
      </w:r>
      <w:r w:rsidRPr="005D550B">
        <w:rPr>
          <w:rFonts w:asciiTheme="minorHAnsi" w:hAnsiTheme="minorHAnsi"/>
          <w:noProof/>
          <w:sz w:val="22"/>
          <w:szCs w:val="22"/>
        </w:rPr>
        <w:t>, 29–48.</w:t>
      </w:r>
    </w:p>
    <w:p w14:paraId="4ACD0F8D" w14:textId="63A2E407"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Harto, C., &amp; Clark, C. (2012). Geothermal regional water resource assessment. </w:t>
      </w:r>
      <w:r w:rsidRPr="005D550B">
        <w:rPr>
          <w:rFonts w:asciiTheme="minorHAnsi" w:hAnsiTheme="minorHAnsi"/>
          <w:i/>
          <w:iCs/>
          <w:noProof/>
          <w:sz w:val="22"/>
          <w:szCs w:val="22"/>
        </w:rPr>
        <w:t>Transactions - Geothermal Resources Council</w:t>
      </w:r>
      <w:r w:rsidRPr="005D550B">
        <w:rPr>
          <w:rFonts w:asciiTheme="minorHAnsi" w:hAnsiTheme="minorHAnsi"/>
          <w:noProof/>
          <w:sz w:val="22"/>
          <w:szCs w:val="22"/>
        </w:rPr>
        <w:t xml:space="preserve">, </w:t>
      </w:r>
      <w:r w:rsidRPr="005D550B">
        <w:rPr>
          <w:rFonts w:asciiTheme="minorHAnsi" w:hAnsiTheme="minorHAnsi"/>
          <w:i/>
          <w:iCs/>
          <w:noProof/>
          <w:sz w:val="22"/>
          <w:szCs w:val="22"/>
        </w:rPr>
        <w:t>36 2</w:t>
      </w:r>
      <w:r w:rsidRPr="005D550B">
        <w:rPr>
          <w:rFonts w:asciiTheme="minorHAnsi" w:hAnsiTheme="minorHAnsi"/>
          <w:noProof/>
          <w:sz w:val="22"/>
          <w:szCs w:val="22"/>
        </w:rPr>
        <w:t>, 1203–1208.</w:t>
      </w:r>
      <w:r w:rsidR="00D6424B" w:rsidRPr="005D550B">
        <w:rPr>
          <w:rFonts w:asciiTheme="minorHAnsi" w:hAnsiTheme="minorHAnsi"/>
          <w:noProof/>
          <w:sz w:val="22"/>
          <w:szCs w:val="22"/>
        </w:rPr>
        <w:t xml:space="preserve"> </w:t>
      </w:r>
      <w:hyperlink r:id="rId25" w:history="1">
        <w:r w:rsidR="00D6424B" w:rsidRPr="005D550B">
          <w:rPr>
            <w:rStyle w:val="Hyperlink"/>
            <w:rFonts w:asciiTheme="minorHAnsi" w:hAnsiTheme="minorHAnsi"/>
            <w:noProof/>
            <w:sz w:val="22"/>
            <w:szCs w:val="22"/>
          </w:rPr>
          <w:t>https://jglobal.jst.go.jp/en/detail?JGLOBAL_ID=201302239098499714</w:t>
        </w:r>
      </w:hyperlink>
      <w:r w:rsidR="00D6424B" w:rsidRPr="005D550B">
        <w:rPr>
          <w:rFonts w:asciiTheme="minorHAnsi" w:hAnsiTheme="minorHAnsi"/>
          <w:noProof/>
          <w:sz w:val="22"/>
          <w:szCs w:val="22"/>
        </w:rPr>
        <w:t xml:space="preserve"> </w:t>
      </w:r>
    </w:p>
    <w:p w14:paraId="37DA5E2D" w14:textId="091E22C1"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Kutlu, K. (2026). </w:t>
      </w:r>
      <w:r w:rsidRPr="00BC3DDB">
        <w:rPr>
          <w:rFonts w:asciiTheme="minorHAnsi" w:hAnsiTheme="minorHAnsi"/>
          <w:noProof/>
          <w:sz w:val="22"/>
          <w:szCs w:val="22"/>
        </w:rPr>
        <w:t xml:space="preserve">Green </w:t>
      </w:r>
      <w:r w:rsidR="00BC3DDB" w:rsidRPr="00BC3DDB">
        <w:rPr>
          <w:rFonts w:asciiTheme="minorHAnsi" w:hAnsiTheme="minorHAnsi"/>
          <w:noProof/>
          <w:sz w:val="22"/>
          <w:szCs w:val="22"/>
        </w:rPr>
        <w:t>grabbing , law and resistance </w:t>
      </w:r>
      <w:r w:rsidRPr="00BC3DDB">
        <w:rPr>
          <w:rFonts w:asciiTheme="minorHAnsi" w:hAnsiTheme="minorHAnsi"/>
          <w:noProof/>
          <w:sz w:val="22"/>
          <w:szCs w:val="22"/>
        </w:rPr>
        <w:t xml:space="preserve">: Renewable </w:t>
      </w:r>
      <w:r w:rsidR="00BC3DDB" w:rsidRPr="00BC3DDB">
        <w:rPr>
          <w:rFonts w:asciiTheme="minorHAnsi" w:hAnsiTheme="minorHAnsi"/>
          <w:noProof/>
          <w:sz w:val="22"/>
          <w:szCs w:val="22"/>
        </w:rPr>
        <w:t>energy projects in izmir yeşil gasp</w:t>
      </w:r>
      <w:r w:rsidR="00BC3DDB">
        <w:rPr>
          <w:rFonts w:asciiTheme="minorHAnsi" w:hAnsiTheme="minorHAnsi"/>
          <w:noProof/>
          <w:sz w:val="22"/>
          <w:szCs w:val="22"/>
        </w:rPr>
        <w:t>.</w:t>
      </w:r>
      <w:r w:rsidR="00BC3DDB" w:rsidRPr="005D550B">
        <w:rPr>
          <w:rFonts w:asciiTheme="minorHAnsi" w:hAnsiTheme="minorHAnsi"/>
          <w:i/>
          <w:iCs/>
          <w:noProof/>
          <w:sz w:val="22"/>
          <w:szCs w:val="22"/>
        </w:rPr>
        <w:t xml:space="preserve"> Hukuk </w:t>
      </w:r>
      <w:r w:rsidR="00BC3DDB">
        <w:rPr>
          <w:rFonts w:asciiTheme="minorHAnsi" w:hAnsiTheme="minorHAnsi"/>
          <w:i/>
          <w:iCs/>
          <w:noProof/>
          <w:sz w:val="22"/>
          <w:szCs w:val="22"/>
        </w:rPr>
        <w:t>v</w:t>
      </w:r>
      <w:r w:rsidR="00BC3DDB" w:rsidRPr="005D550B">
        <w:rPr>
          <w:rFonts w:asciiTheme="minorHAnsi" w:hAnsiTheme="minorHAnsi"/>
          <w:i/>
          <w:iCs/>
          <w:noProof/>
          <w:sz w:val="22"/>
          <w:szCs w:val="22"/>
        </w:rPr>
        <w:t xml:space="preserve">e Direniş : </w:t>
      </w:r>
      <w:r w:rsidRPr="005D550B">
        <w:rPr>
          <w:rFonts w:asciiTheme="minorHAnsi" w:hAnsiTheme="minorHAnsi"/>
          <w:i/>
          <w:iCs/>
          <w:noProof/>
          <w:sz w:val="22"/>
          <w:szCs w:val="22"/>
        </w:rPr>
        <w:t>İzmir ’ de Yenilenebilir Enerji Projeleri Abstract Öz</w:t>
      </w:r>
      <w:r w:rsidRPr="005D550B">
        <w:rPr>
          <w:rFonts w:asciiTheme="minorHAnsi" w:hAnsiTheme="minorHAnsi"/>
          <w:noProof/>
          <w:sz w:val="22"/>
          <w:szCs w:val="22"/>
        </w:rPr>
        <w:t xml:space="preserve">. </w:t>
      </w:r>
      <w:r w:rsidRPr="005D550B">
        <w:rPr>
          <w:rFonts w:asciiTheme="minorHAnsi" w:hAnsiTheme="minorHAnsi"/>
          <w:i/>
          <w:iCs/>
          <w:noProof/>
          <w:sz w:val="22"/>
          <w:szCs w:val="22"/>
        </w:rPr>
        <w:t>7</w:t>
      </w:r>
      <w:r w:rsidRPr="005D550B">
        <w:rPr>
          <w:rFonts w:asciiTheme="minorHAnsi" w:hAnsiTheme="minorHAnsi"/>
          <w:noProof/>
          <w:sz w:val="22"/>
          <w:szCs w:val="22"/>
        </w:rPr>
        <w:t xml:space="preserve">(1), 63–84. </w:t>
      </w:r>
      <w:hyperlink r:id="rId26" w:history="1">
        <w:r w:rsidRPr="005D550B">
          <w:rPr>
            <w:rStyle w:val="Hyperlink"/>
            <w:rFonts w:asciiTheme="minorHAnsi" w:hAnsiTheme="minorHAnsi"/>
            <w:noProof/>
            <w:sz w:val="22"/>
            <w:szCs w:val="22"/>
          </w:rPr>
          <w:t>https://doi.org/10.47613/reflektif.2026.263</w:t>
        </w:r>
      </w:hyperlink>
      <w:r w:rsidRPr="005D550B">
        <w:rPr>
          <w:rFonts w:asciiTheme="minorHAnsi" w:hAnsiTheme="minorHAnsi"/>
          <w:noProof/>
          <w:sz w:val="22"/>
          <w:szCs w:val="22"/>
        </w:rPr>
        <w:t xml:space="preserve"> </w:t>
      </w:r>
    </w:p>
    <w:p w14:paraId="63D6B6AF" w14:textId="77777777" w:rsidR="00D6424B" w:rsidRPr="005D550B" w:rsidRDefault="00DD5A99" w:rsidP="00D6424B">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lang w:val="de-DE"/>
        </w:rPr>
        <w:t xml:space="preserve">Langer, J., Quist, J., &amp; Blok, K. (2021). </w:t>
      </w:r>
      <w:r w:rsidRPr="005D550B">
        <w:rPr>
          <w:rFonts w:asciiTheme="minorHAnsi" w:hAnsiTheme="minorHAnsi"/>
          <w:noProof/>
          <w:sz w:val="22"/>
          <w:szCs w:val="22"/>
        </w:rPr>
        <w:t xml:space="preserve">Review of renewable energy potentials in indonesia and their contribution to a 100% renewable electricity system. </w:t>
      </w:r>
      <w:r w:rsidRPr="005D550B">
        <w:rPr>
          <w:rFonts w:asciiTheme="minorHAnsi" w:hAnsiTheme="minorHAnsi"/>
          <w:i/>
          <w:iCs/>
          <w:noProof/>
          <w:sz w:val="22"/>
          <w:szCs w:val="22"/>
        </w:rPr>
        <w:t>Energies</w:t>
      </w:r>
      <w:r w:rsidRPr="005D550B">
        <w:rPr>
          <w:rFonts w:asciiTheme="minorHAnsi" w:hAnsiTheme="minorHAnsi"/>
          <w:noProof/>
          <w:sz w:val="22"/>
          <w:szCs w:val="22"/>
        </w:rPr>
        <w:t xml:space="preserve">, </w:t>
      </w:r>
      <w:r w:rsidRPr="005D550B">
        <w:rPr>
          <w:rFonts w:asciiTheme="minorHAnsi" w:hAnsiTheme="minorHAnsi"/>
          <w:i/>
          <w:iCs/>
          <w:noProof/>
          <w:sz w:val="22"/>
          <w:szCs w:val="22"/>
        </w:rPr>
        <w:t>14</w:t>
      </w:r>
      <w:r w:rsidRPr="005D550B">
        <w:rPr>
          <w:rFonts w:asciiTheme="minorHAnsi" w:hAnsiTheme="minorHAnsi"/>
          <w:noProof/>
          <w:sz w:val="22"/>
          <w:szCs w:val="22"/>
        </w:rPr>
        <w:t xml:space="preserve">(21). </w:t>
      </w:r>
      <w:hyperlink r:id="rId27" w:history="1">
        <w:r w:rsidRPr="005D550B">
          <w:rPr>
            <w:rStyle w:val="Hyperlink"/>
            <w:rFonts w:asciiTheme="minorHAnsi" w:hAnsiTheme="minorHAnsi"/>
            <w:noProof/>
            <w:sz w:val="22"/>
            <w:szCs w:val="22"/>
          </w:rPr>
          <w:t>https://doi.org/10.3390/en14217033</w:t>
        </w:r>
      </w:hyperlink>
    </w:p>
    <w:p w14:paraId="0F37169E" w14:textId="1ED7F086" w:rsidR="00DD5A99" w:rsidRPr="005D550B" w:rsidRDefault="00DD5A99" w:rsidP="00D6424B">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Lin, J. (2025). </w:t>
      </w:r>
      <w:r w:rsidRPr="005D550B">
        <w:rPr>
          <w:rFonts w:asciiTheme="minorHAnsi" w:hAnsiTheme="minorHAnsi"/>
          <w:i/>
          <w:iCs/>
          <w:noProof/>
          <w:sz w:val="22"/>
          <w:szCs w:val="22"/>
        </w:rPr>
        <w:t xml:space="preserve">Climate Law </w:t>
      </w:r>
      <w:r w:rsidR="000912ED">
        <w:rPr>
          <w:rFonts w:asciiTheme="minorHAnsi" w:hAnsiTheme="minorHAnsi"/>
          <w:i/>
          <w:iCs/>
          <w:noProof/>
          <w:sz w:val="22"/>
          <w:szCs w:val="22"/>
        </w:rPr>
        <w:t>d</w:t>
      </w:r>
      <w:r w:rsidRPr="005D550B">
        <w:rPr>
          <w:rFonts w:asciiTheme="minorHAnsi" w:hAnsiTheme="minorHAnsi"/>
          <w:i/>
          <w:iCs/>
          <w:noProof/>
          <w:sz w:val="22"/>
          <w:szCs w:val="22"/>
        </w:rPr>
        <w:t>evelopments in East and Southeast Asia</w:t>
      </w:r>
      <w:r w:rsidRPr="005D550B">
        <w:rPr>
          <w:rFonts w:asciiTheme="minorHAnsi" w:hAnsiTheme="minorHAnsi"/>
          <w:noProof/>
          <w:sz w:val="22"/>
          <w:szCs w:val="22"/>
        </w:rPr>
        <w:t>.</w:t>
      </w:r>
      <w:r w:rsidR="00D6424B" w:rsidRPr="005D550B">
        <w:rPr>
          <w:rFonts w:asciiTheme="minorHAnsi" w:hAnsiTheme="minorHAnsi"/>
          <w:noProof/>
          <w:sz w:val="22"/>
          <w:szCs w:val="22"/>
        </w:rPr>
        <w:t xml:space="preserve"> NUS Asia-Pacific Centre for Environmental Law Working Paper 25/01.  </w:t>
      </w:r>
      <w:hyperlink r:id="rId28" w:history="1">
        <w:r w:rsidR="00D6424B" w:rsidRPr="005D550B">
          <w:rPr>
            <w:rStyle w:val="Hyperlink"/>
            <w:rFonts w:asciiTheme="minorHAnsi" w:hAnsiTheme="minorHAnsi"/>
            <w:noProof/>
            <w:sz w:val="22"/>
            <w:szCs w:val="22"/>
          </w:rPr>
          <w:t>https://papers.ssrn.com/sol3/papers.cfm?abstract_id=5290188</w:t>
        </w:r>
      </w:hyperlink>
      <w:r w:rsidR="00D6424B" w:rsidRPr="005D550B">
        <w:rPr>
          <w:rFonts w:asciiTheme="minorHAnsi" w:hAnsiTheme="minorHAnsi"/>
          <w:noProof/>
          <w:sz w:val="22"/>
          <w:szCs w:val="22"/>
        </w:rPr>
        <w:t xml:space="preserve"> </w:t>
      </w:r>
    </w:p>
    <w:p w14:paraId="4F6B76ED" w14:textId="7760FB26"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Mariita, N. O. (2002). The impact of large-scale renewable energy development on the poor: Environmental and socio-economic impact of a geothermal power plant on a poor rural community in Kenya. </w:t>
      </w:r>
      <w:r w:rsidRPr="005D550B">
        <w:rPr>
          <w:rFonts w:asciiTheme="minorHAnsi" w:hAnsiTheme="minorHAnsi"/>
          <w:i/>
          <w:iCs/>
          <w:noProof/>
          <w:sz w:val="22"/>
          <w:szCs w:val="22"/>
        </w:rPr>
        <w:t>Energy Policy</w:t>
      </w:r>
      <w:r w:rsidRPr="005D550B">
        <w:rPr>
          <w:rFonts w:asciiTheme="minorHAnsi" w:hAnsiTheme="minorHAnsi"/>
          <w:noProof/>
          <w:sz w:val="22"/>
          <w:szCs w:val="22"/>
        </w:rPr>
        <w:t xml:space="preserve">, </w:t>
      </w:r>
      <w:r w:rsidRPr="005D550B">
        <w:rPr>
          <w:rFonts w:asciiTheme="minorHAnsi" w:hAnsiTheme="minorHAnsi"/>
          <w:i/>
          <w:iCs/>
          <w:noProof/>
          <w:sz w:val="22"/>
          <w:szCs w:val="22"/>
        </w:rPr>
        <w:t>30</w:t>
      </w:r>
      <w:r w:rsidRPr="005D550B">
        <w:rPr>
          <w:rFonts w:asciiTheme="minorHAnsi" w:hAnsiTheme="minorHAnsi"/>
          <w:noProof/>
          <w:sz w:val="22"/>
          <w:szCs w:val="22"/>
        </w:rPr>
        <w:t xml:space="preserve">(11–12), 1119–1128. </w:t>
      </w:r>
      <w:hyperlink r:id="rId29" w:history="1">
        <w:r w:rsidRPr="005D550B">
          <w:rPr>
            <w:rStyle w:val="Hyperlink"/>
            <w:rFonts w:asciiTheme="minorHAnsi" w:hAnsiTheme="minorHAnsi"/>
            <w:noProof/>
            <w:sz w:val="22"/>
            <w:szCs w:val="22"/>
          </w:rPr>
          <w:t>https://doi.org/10.1016/S0301-4215(02)00063-0</w:t>
        </w:r>
      </w:hyperlink>
      <w:r w:rsidRPr="005D550B">
        <w:rPr>
          <w:rFonts w:asciiTheme="minorHAnsi" w:hAnsiTheme="minorHAnsi"/>
          <w:noProof/>
          <w:sz w:val="22"/>
          <w:szCs w:val="22"/>
        </w:rPr>
        <w:t xml:space="preserve"> </w:t>
      </w:r>
    </w:p>
    <w:p w14:paraId="68BE3F88" w14:textId="6B40374E"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Martinez-Alier, J. (2002). The </w:t>
      </w:r>
      <w:r w:rsidR="00BC3DDB" w:rsidRPr="005D550B">
        <w:rPr>
          <w:rFonts w:asciiTheme="minorHAnsi" w:hAnsiTheme="minorHAnsi"/>
          <w:noProof/>
          <w:sz w:val="22"/>
          <w:szCs w:val="22"/>
        </w:rPr>
        <w:t>environmentalism of the poor</w:t>
      </w:r>
      <w:r w:rsidRPr="005D550B">
        <w:rPr>
          <w:rFonts w:asciiTheme="minorHAnsi" w:hAnsiTheme="minorHAnsi"/>
          <w:noProof/>
          <w:sz w:val="22"/>
          <w:szCs w:val="22"/>
        </w:rPr>
        <w:t xml:space="preserve">. </w:t>
      </w:r>
      <w:r w:rsidRPr="005D550B">
        <w:rPr>
          <w:rFonts w:asciiTheme="minorHAnsi" w:hAnsiTheme="minorHAnsi"/>
          <w:i/>
          <w:iCs/>
          <w:noProof/>
          <w:sz w:val="22"/>
          <w:szCs w:val="22"/>
        </w:rPr>
        <w:t>The Political Economy of Sustainable Development: ENvironmental C</w:t>
      </w:r>
      <w:r w:rsidR="00D6424B" w:rsidRPr="005D550B">
        <w:rPr>
          <w:rFonts w:asciiTheme="minorHAnsi" w:hAnsiTheme="minorHAnsi"/>
          <w:i/>
          <w:iCs/>
          <w:noProof/>
          <w:sz w:val="22"/>
          <w:szCs w:val="22"/>
        </w:rPr>
        <w:t>o</w:t>
      </w:r>
      <w:r w:rsidRPr="005D550B">
        <w:rPr>
          <w:rFonts w:asciiTheme="minorHAnsi" w:hAnsiTheme="minorHAnsi"/>
          <w:i/>
          <w:iCs/>
          <w:noProof/>
          <w:sz w:val="22"/>
          <w:szCs w:val="22"/>
        </w:rPr>
        <w:t>nflict, Participation and Movements</w:t>
      </w:r>
      <w:r w:rsidRPr="005D550B">
        <w:rPr>
          <w:rFonts w:asciiTheme="minorHAnsi" w:hAnsiTheme="minorHAnsi"/>
          <w:noProof/>
          <w:sz w:val="22"/>
          <w:szCs w:val="22"/>
        </w:rPr>
        <w:t xml:space="preserve">. </w:t>
      </w:r>
      <w:hyperlink r:id="rId30" w:history="1">
        <w:r w:rsidRPr="005D550B">
          <w:rPr>
            <w:rStyle w:val="Hyperlink"/>
            <w:rFonts w:asciiTheme="minorHAnsi" w:hAnsiTheme="minorHAnsi"/>
            <w:noProof/>
            <w:sz w:val="22"/>
            <w:szCs w:val="22"/>
          </w:rPr>
          <w:t>https://doi.org/10.1080/09540100120094492</w:t>
        </w:r>
      </w:hyperlink>
      <w:r w:rsidRPr="005D550B">
        <w:rPr>
          <w:rFonts w:asciiTheme="minorHAnsi" w:hAnsiTheme="minorHAnsi"/>
          <w:noProof/>
          <w:sz w:val="22"/>
          <w:szCs w:val="22"/>
        </w:rPr>
        <w:t xml:space="preserve"> </w:t>
      </w:r>
    </w:p>
    <w:p w14:paraId="659831A6" w14:textId="3E5B3844"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Messakh, J. J., Moy, D. L., Mojo, D., &amp; Maliti, Y. (2018). The linkage between household water consumption and rainfall in the semi-arid region of East Nusa Tenggara, Indonesia. </w:t>
      </w:r>
      <w:r w:rsidRPr="005D550B">
        <w:rPr>
          <w:rFonts w:asciiTheme="minorHAnsi" w:hAnsiTheme="minorHAnsi"/>
          <w:i/>
          <w:iCs/>
          <w:noProof/>
          <w:sz w:val="22"/>
          <w:szCs w:val="22"/>
        </w:rPr>
        <w:t>IOP Conference Series: Earth and Environmental Science</w:t>
      </w:r>
      <w:r w:rsidRPr="005D550B">
        <w:rPr>
          <w:rFonts w:asciiTheme="minorHAnsi" w:hAnsiTheme="minorHAnsi"/>
          <w:noProof/>
          <w:sz w:val="22"/>
          <w:szCs w:val="22"/>
        </w:rPr>
        <w:t xml:space="preserve">, </w:t>
      </w:r>
      <w:r w:rsidRPr="005D550B">
        <w:rPr>
          <w:rFonts w:asciiTheme="minorHAnsi" w:hAnsiTheme="minorHAnsi"/>
          <w:i/>
          <w:iCs/>
          <w:noProof/>
          <w:sz w:val="22"/>
          <w:szCs w:val="22"/>
        </w:rPr>
        <w:t>106</w:t>
      </w:r>
      <w:r w:rsidRPr="005D550B">
        <w:rPr>
          <w:rFonts w:asciiTheme="minorHAnsi" w:hAnsiTheme="minorHAnsi"/>
          <w:noProof/>
          <w:sz w:val="22"/>
          <w:szCs w:val="22"/>
        </w:rPr>
        <w:t xml:space="preserve">(1). </w:t>
      </w:r>
      <w:hyperlink r:id="rId31" w:history="1">
        <w:r w:rsidRPr="005D550B">
          <w:rPr>
            <w:rStyle w:val="Hyperlink"/>
            <w:rFonts w:asciiTheme="minorHAnsi" w:hAnsiTheme="minorHAnsi"/>
            <w:noProof/>
            <w:sz w:val="22"/>
            <w:szCs w:val="22"/>
          </w:rPr>
          <w:t>https://doi.org/10.1088/1755-1315/106/1/012084</w:t>
        </w:r>
      </w:hyperlink>
      <w:r w:rsidRPr="005D550B">
        <w:rPr>
          <w:rFonts w:asciiTheme="minorHAnsi" w:hAnsiTheme="minorHAnsi"/>
          <w:noProof/>
          <w:sz w:val="22"/>
          <w:szCs w:val="22"/>
        </w:rPr>
        <w:t xml:space="preserve"> </w:t>
      </w:r>
    </w:p>
    <w:p w14:paraId="1AB5A711" w14:textId="51F89A7E"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Mulyani, A., Priyono, A., &amp; Agus, F. (2013). </w:t>
      </w:r>
      <w:r w:rsidRPr="00BC3DDB">
        <w:rPr>
          <w:rFonts w:asciiTheme="minorHAnsi" w:hAnsiTheme="minorHAnsi"/>
          <w:i/>
          <w:iCs/>
          <w:noProof/>
          <w:sz w:val="22"/>
          <w:szCs w:val="22"/>
        </w:rPr>
        <w:t>Developments in soil classification, land use planning and policy implications: Innovative thinking of soil inventory for land use planning and management of land resource</w:t>
      </w:r>
      <w:r w:rsidR="00BC3DDB">
        <w:rPr>
          <w:rFonts w:asciiTheme="minorHAnsi" w:hAnsiTheme="minorHAnsi"/>
          <w:noProof/>
          <w:sz w:val="22"/>
          <w:szCs w:val="22"/>
        </w:rPr>
        <w:t>. Springer.</w:t>
      </w:r>
      <w:r w:rsidRPr="005D550B">
        <w:rPr>
          <w:rFonts w:asciiTheme="minorHAnsi" w:hAnsiTheme="minorHAnsi"/>
          <w:noProof/>
          <w:sz w:val="22"/>
          <w:szCs w:val="22"/>
        </w:rPr>
        <w:t xml:space="preserve"> </w:t>
      </w:r>
      <w:hyperlink r:id="rId32" w:history="1">
        <w:r w:rsidRPr="005D550B">
          <w:rPr>
            <w:rStyle w:val="Hyperlink"/>
            <w:rFonts w:asciiTheme="minorHAnsi" w:hAnsiTheme="minorHAnsi"/>
            <w:noProof/>
            <w:sz w:val="22"/>
            <w:szCs w:val="22"/>
          </w:rPr>
          <w:t>https://doi.org/10.1007/978-94-007-5332-7</w:t>
        </w:r>
      </w:hyperlink>
      <w:r w:rsidRPr="005D550B">
        <w:rPr>
          <w:rFonts w:asciiTheme="minorHAnsi" w:hAnsiTheme="minorHAnsi"/>
          <w:noProof/>
          <w:sz w:val="22"/>
          <w:szCs w:val="22"/>
        </w:rPr>
        <w:t xml:space="preserve"> </w:t>
      </w:r>
    </w:p>
    <w:p w14:paraId="45D6F105" w14:textId="0D764AFD"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Muslihudin, M., Santosa, I., Tugiyanti, E., Suyono, Dewi, P. S., &amp; Santoso, J. (2023). The Urgency of </w:t>
      </w:r>
      <w:r w:rsidR="00BC3DDB" w:rsidRPr="005D550B">
        <w:rPr>
          <w:rFonts w:asciiTheme="minorHAnsi" w:hAnsiTheme="minorHAnsi"/>
          <w:noProof/>
          <w:sz w:val="22"/>
          <w:szCs w:val="22"/>
        </w:rPr>
        <w:t xml:space="preserve">social aspects in environmental assessment: </w:t>
      </w:r>
      <w:r w:rsidR="00BC3DDB">
        <w:rPr>
          <w:rFonts w:asciiTheme="minorHAnsi" w:hAnsiTheme="minorHAnsi"/>
          <w:noProof/>
          <w:sz w:val="22"/>
          <w:szCs w:val="22"/>
        </w:rPr>
        <w:t>A</w:t>
      </w:r>
      <w:r w:rsidR="00BC3DDB" w:rsidRPr="005D550B">
        <w:rPr>
          <w:rFonts w:asciiTheme="minorHAnsi" w:hAnsiTheme="minorHAnsi"/>
          <w:noProof/>
          <w:sz w:val="22"/>
          <w:szCs w:val="22"/>
        </w:rPr>
        <w:t xml:space="preserve"> case study of a sustainable geothermal power plant development </w:t>
      </w:r>
      <w:r w:rsidRPr="005D550B">
        <w:rPr>
          <w:rFonts w:asciiTheme="minorHAnsi" w:hAnsiTheme="minorHAnsi"/>
          <w:noProof/>
          <w:sz w:val="22"/>
          <w:szCs w:val="22"/>
        </w:rPr>
        <w:t xml:space="preserve">in Banyumas, Indonesia. </w:t>
      </w:r>
      <w:r w:rsidRPr="005D550B">
        <w:rPr>
          <w:rFonts w:asciiTheme="minorHAnsi" w:hAnsiTheme="minorHAnsi"/>
          <w:i/>
          <w:iCs/>
          <w:noProof/>
          <w:sz w:val="22"/>
          <w:szCs w:val="22"/>
        </w:rPr>
        <w:t>Environmental Research, Engineering and Management</w:t>
      </w:r>
      <w:r w:rsidRPr="005D550B">
        <w:rPr>
          <w:rFonts w:asciiTheme="minorHAnsi" w:hAnsiTheme="minorHAnsi"/>
          <w:noProof/>
          <w:sz w:val="22"/>
          <w:szCs w:val="22"/>
        </w:rPr>
        <w:t xml:space="preserve">, </w:t>
      </w:r>
      <w:r w:rsidRPr="005D550B">
        <w:rPr>
          <w:rFonts w:asciiTheme="minorHAnsi" w:hAnsiTheme="minorHAnsi"/>
          <w:i/>
          <w:iCs/>
          <w:noProof/>
          <w:sz w:val="22"/>
          <w:szCs w:val="22"/>
        </w:rPr>
        <w:t>79</w:t>
      </w:r>
      <w:r w:rsidRPr="005D550B">
        <w:rPr>
          <w:rFonts w:asciiTheme="minorHAnsi" w:hAnsiTheme="minorHAnsi"/>
          <w:noProof/>
          <w:sz w:val="22"/>
          <w:szCs w:val="22"/>
        </w:rPr>
        <w:t xml:space="preserve">(2), 88–98. </w:t>
      </w:r>
      <w:hyperlink r:id="rId33" w:history="1">
        <w:r w:rsidRPr="005D550B">
          <w:rPr>
            <w:rStyle w:val="Hyperlink"/>
            <w:rFonts w:asciiTheme="minorHAnsi" w:hAnsiTheme="minorHAnsi"/>
            <w:noProof/>
            <w:sz w:val="22"/>
            <w:szCs w:val="22"/>
          </w:rPr>
          <w:t>https://doi.org/10.5755/j01.erem.79.2.33331</w:t>
        </w:r>
      </w:hyperlink>
      <w:r w:rsidRPr="005D550B">
        <w:rPr>
          <w:rFonts w:asciiTheme="minorHAnsi" w:hAnsiTheme="minorHAnsi"/>
          <w:noProof/>
          <w:sz w:val="22"/>
          <w:szCs w:val="22"/>
        </w:rPr>
        <w:t xml:space="preserve"> </w:t>
      </w:r>
    </w:p>
    <w:p w14:paraId="61E92F58" w14:textId="1E4B93C0"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Ngongo, Y., Basuki, T., Derosari, B., Mau, Y. S., Noerwijati, K., Dasilva, H., Sitorus, A., Kotta, N. R. E., Utomo, W. H., &amp; Wisnubroto, E. I. (2022). The </w:t>
      </w:r>
      <w:r w:rsidR="00BC3DDB" w:rsidRPr="005D550B">
        <w:rPr>
          <w:rFonts w:asciiTheme="minorHAnsi" w:hAnsiTheme="minorHAnsi"/>
          <w:noProof/>
          <w:sz w:val="22"/>
          <w:szCs w:val="22"/>
        </w:rPr>
        <w:t>roles of cassava in marginal semi-</w:t>
      </w:r>
      <w:r w:rsidR="00BC3DDB" w:rsidRPr="005D550B">
        <w:rPr>
          <w:rFonts w:asciiTheme="minorHAnsi" w:hAnsiTheme="minorHAnsi"/>
          <w:noProof/>
          <w:sz w:val="22"/>
          <w:szCs w:val="22"/>
        </w:rPr>
        <w:lastRenderedPageBreak/>
        <w:t xml:space="preserve">arid farming </w:t>
      </w:r>
      <w:r w:rsidRPr="005D550B">
        <w:rPr>
          <w:rFonts w:asciiTheme="minorHAnsi" w:hAnsiTheme="minorHAnsi"/>
          <w:noProof/>
          <w:sz w:val="22"/>
          <w:szCs w:val="22"/>
        </w:rPr>
        <w:t xml:space="preserve">in East Nusa Tenggara—Indonesia. </w:t>
      </w:r>
      <w:r w:rsidRPr="005D550B">
        <w:rPr>
          <w:rFonts w:asciiTheme="minorHAnsi" w:hAnsiTheme="minorHAnsi"/>
          <w:i/>
          <w:iCs/>
          <w:noProof/>
          <w:sz w:val="22"/>
          <w:szCs w:val="22"/>
        </w:rPr>
        <w:t>Sustainability (Switzerland)</w:t>
      </w:r>
      <w:r w:rsidRPr="005D550B">
        <w:rPr>
          <w:rFonts w:asciiTheme="minorHAnsi" w:hAnsiTheme="minorHAnsi"/>
          <w:noProof/>
          <w:sz w:val="22"/>
          <w:szCs w:val="22"/>
        </w:rPr>
        <w:t xml:space="preserve">, </w:t>
      </w:r>
      <w:r w:rsidRPr="005D550B">
        <w:rPr>
          <w:rFonts w:asciiTheme="minorHAnsi" w:hAnsiTheme="minorHAnsi"/>
          <w:i/>
          <w:iCs/>
          <w:noProof/>
          <w:sz w:val="22"/>
          <w:szCs w:val="22"/>
        </w:rPr>
        <w:t>14</w:t>
      </w:r>
      <w:r w:rsidRPr="005D550B">
        <w:rPr>
          <w:rFonts w:asciiTheme="minorHAnsi" w:hAnsiTheme="minorHAnsi"/>
          <w:noProof/>
          <w:sz w:val="22"/>
          <w:szCs w:val="22"/>
        </w:rPr>
        <w:t xml:space="preserve">(9), 1–22. </w:t>
      </w:r>
      <w:hyperlink r:id="rId34" w:history="1">
        <w:r w:rsidRPr="005D550B">
          <w:rPr>
            <w:rStyle w:val="Hyperlink"/>
            <w:rFonts w:asciiTheme="minorHAnsi" w:hAnsiTheme="minorHAnsi"/>
            <w:noProof/>
            <w:sz w:val="22"/>
            <w:szCs w:val="22"/>
          </w:rPr>
          <w:t>https://doi.org/10.3390/su14095439</w:t>
        </w:r>
      </w:hyperlink>
      <w:r w:rsidRPr="005D550B">
        <w:rPr>
          <w:rFonts w:asciiTheme="minorHAnsi" w:hAnsiTheme="minorHAnsi"/>
          <w:noProof/>
          <w:sz w:val="22"/>
          <w:szCs w:val="22"/>
        </w:rPr>
        <w:t xml:space="preserve"> </w:t>
      </w:r>
    </w:p>
    <w:p w14:paraId="49CA3DB3" w14:textId="674B6BD2"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Nixon, R. (2011). </w:t>
      </w:r>
      <w:r w:rsidRPr="005D550B">
        <w:rPr>
          <w:rFonts w:asciiTheme="minorHAnsi" w:hAnsiTheme="minorHAnsi"/>
          <w:i/>
          <w:iCs/>
          <w:noProof/>
          <w:sz w:val="22"/>
          <w:szCs w:val="22"/>
        </w:rPr>
        <w:t xml:space="preserve">Slow </w:t>
      </w:r>
      <w:r w:rsidR="00E17238" w:rsidRPr="005D550B">
        <w:rPr>
          <w:rFonts w:asciiTheme="minorHAnsi" w:hAnsiTheme="minorHAnsi"/>
          <w:i/>
          <w:iCs/>
          <w:noProof/>
          <w:sz w:val="22"/>
          <w:szCs w:val="22"/>
        </w:rPr>
        <w:t>violence and the environmentalism of the poor</w:t>
      </w:r>
      <w:r w:rsidR="00E17238" w:rsidRPr="005D550B">
        <w:rPr>
          <w:rFonts w:asciiTheme="minorHAnsi" w:hAnsiTheme="minorHAnsi"/>
          <w:noProof/>
          <w:sz w:val="22"/>
          <w:szCs w:val="22"/>
        </w:rPr>
        <w:t xml:space="preserve"> </w:t>
      </w:r>
      <w:r w:rsidRPr="005D550B">
        <w:rPr>
          <w:rFonts w:asciiTheme="minorHAnsi" w:hAnsiTheme="minorHAnsi"/>
          <w:noProof/>
          <w:sz w:val="22"/>
          <w:szCs w:val="22"/>
        </w:rPr>
        <w:t>(1st ed.). Harvard University Press.</w:t>
      </w:r>
    </w:p>
    <w:p w14:paraId="6EADEA18" w14:textId="53DFFA22"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Portugal-Pereira, J., Soterroni, A. C., Mazzone, A., &amp; Tristan, J. (2025). Assessing potential implications of the EU’s carbon dioxide removal strategy on Brazil’s land ecosystems and local communities. </w:t>
      </w:r>
      <w:r w:rsidRPr="005D550B">
        <w:rPr>
          <w:rFonts w:asciiTheme="minorHAnsi" w:hAnsiTheme="minorHAnsi"/>
          <w:i/>
          <w:iCs/>
          <w:noProof/>
          <w:sz w:val="22"/>
          <w:szCs w:val="22"/>
        </w:rPr>
        <w:t>Environmental Science and Policy</w:t>
      </w:r>
      <w:r w:rsidRPr="005D550B">
        <w:rPr>
          <w:rFonts w:asciiTheme="minorHAnsi" w:hAnsiTheme="minorHAnsi"/>
          <w:noProof/>
          <w:sz w:val="22"/>
          <w:szCs w:val="22"/>
        </w:rPr>
        <w:t xml:space="preserve">, </w:t>
      </w:r>
      <w:r w:rsidRPr="005D550B">
        <w:rPr>
          <w:rFonts w:asciiTheme="minorHAnsi" w:hAnsiTheme="minorHAnsi"/>
          <w:i/>
          <w:iCs/>
          <w:noProof/>
          <w:sz w:val="22"/>
          <w:szCs w:val="22"/>
        </w:rPr>
        <w:t>171</w:t>
      </w:r>
      <w:r w:rsidR="00E022ED">
        <w:rPr>
          <w:rFonts w:asciiTheme="minorHAnsi" w:hAnsiTheme="minorHAnsi"/>
          <w:noProof/>
          <w:sz w:val="22"/>
          <w:szCs w:val="22"/>
        </w:rPr>
        <w:t>,</w:t>
      </w:r>
      <w:r w:rsidRPr="005D550B">
        <w:rPr>
          <w:rFonts w:asciiTheme="minorHAnsi" w:hAnsiTheme="minorHAnsi"/>
          <w:noProof/>
          <w:sz w:val="22"/>
          <w:szCs w:val="22"/>
        </w:rPr>
        <w:t xml:space="preserve"> 104154. </w:t>
      </w:r>
      <w:hyperlink r:id="rId35" w:history="1">
        <w:r w:rsidRPr="005D550B">
          <w:rPr>
            <w:rStyle w:val="Hyperlink"/>
            <w:rFonts w:asciiTheme="minorHAnsi" w:hAnsiTheme="minorHAnsi"/>
            <w:noProof/>
            <w:sz w:val="22"/>
            <w:szCs w:val="22"/>
          </w:rPr>
          <w:t>https://doi.org/10.1016/j.envsci.2025.104154</w:t>
        </w:r>
      </w:hyperlink>
      <w:r w:rsidRPr="005D550B">
        <w:rPr>
          <w:rFonts w:asciiTheme="minorHAnsi" w:hAnsiTheme="minorHAnsi"/>
          <w:noProof/>
          <w:sz w:val="22"/>
          <w:szCs w:val="22"/>
        </w:rPr>
        <w:t xml:space="preserve"> </w:t>
      </w:r>
    </w:p>
    <w:p w14:paraId="20FA9468" w14:textId="37683A18" w:rsidR="00DD5A99" w:rsidRPr="005D550B" w:rsidRDefault="00DD5A99" w:rsidP="00DD5A99">
      <w:pPr>
        <w:widowControl w:val="0"/>
        <w:autoSpaceDE w:val="0"/>
        <w:autoSpaceDN w:val="0"/>
        <w:adjustRightInd w:val="0"/>
        <w:ind w:left="480" w:hanging="480"/>
      </w:pPr>
      <w:r w:rsidRPr="005D550B">
        <w:rPr>
          <w:rFonts w:asciiTheme="minorHAnsi" w:hAnsiTheme="minorHAnsi"/>
          <w:noProof/>
          <w:sz w:val="22"/>
          <w:szCs w:val="22"/>
        </w:rPr>
        <w:t xml:space="preserve">PT PLN (Persero). (2025). </w:t>
      </w:r>
      <w:r w:rsidRPr="005D550B">
        <w:rPr>
          <w:rFonts w:asciiTheme="minorHAnsi" w:hAnsiTheme="minorHAnsi"/>
          <w:i/>
          <w:iCs/>
          <w:noProof/>
          <w:sz w:val="22"/>
          <w:szCs w:val="22"/>
        </w:rPr>
        <w:t>Rencana Usaha Penyediaan Tenaga Listrik 2025-2034</w:t>
      </w:r>
      <w:r w:rsidRPr="005D550B">
        <w:rPr>
          <w:rFonts w:asciiTheme="minorHAnsi" w:hAnsiTheme="minorHAnsi"/>
          <w:noProof/>
          <w:sz w:val="22"/>
          <w:szCs w:val="22"/>
        </w:rPr>
        <w:t>. PT. Perusahaan Listrik Negara.</w:t>
      </w:r>
    </w:p>
    <w:p w14:paraId="481C0CA8" w14:textId="77777777"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Robbins, P. (2012). </w:t>
      </w:r>
      <w:r w:rsidRPr="005D550B">
        <w:rPr>
          <w:rFonts w:asciiTheme="minorHAnsi" w:hAnsiTheme="minorHAnsi"/>
          <w:i/>
          <w:iCs/>
          <w:noProof/>
          <w:sz w:val="22"/>
          <w:szCs w:val="22"/>
        </w:rPr>
        <w:t>Political Ecology</w:t>
      </w:r>
      <w:r w:rsidRPr="005D550B">
        <w:rPr>
          <w:rFonts w:asciiTheme="minorHAnsi" w:hAnsiTheme="minorHAnsi"/>
          <w:noProof/>
          <w:sz w:val="22"/>
          <w:szCs w:val="22"/>
        </w:rPr>
        <w:t xml:space="preserve"> (2nd ed.). John Wiley &amp; Sons.</w:t>
      </w:r>
    </w:p>
    <w:p w14:paraId="771E6FAE" w14:textId="25D3BCEB"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Sihidi, I. T., Salahudin, Yasmine, &amp; Dharmala, B. (2025). Green </w:t>
      </w:r>
      <w:r w:rsidR="00BC3DDB" w:rsidRPr="005D550B">
        <w:rPr>
          <w:rFonts w:asciiTheme="minorHAnsi" w:hAnsiTheme="minorHAnsi"/>
          <w:noProof/>
          <w:sz w:val="22"/>
          <w:szCs w:val="22"/>
        </w:rPr>
        <w:t xml:space="preserve">grabbing in renewable energy policy: </w:t>
      </w:r>
      <w:r w:rsidR="00BC3DDB">
        <w:rPr>
          <w:rFonts w:asciiTheme="minorHAnsi" w:hAnsiTheme="minorHAnsi"/>
          <w:noProof/>
          <w:sz w:val="22"/>
          <w:szCs w:val="22"/>
        </w:rPr>
        <w:t>A</w:t>
      </w:r>
      <w:r w:rsidR="00BC3DDB" w:rsidRPr="005D550B">
        <w:rPr>
          <w:rFonts w:asciiTheme="minorHAnsi" w:hAnsiTheme="minorHAnsi"/>
          <w:noProof/>
          <w:sz w:val="22"/>
          <w:szCs w:val="22"/>
        </w:rPr>
        <w:t xml:space="preserve"> case study of the </w:t>
      </w:r>
      <w:r w:rsidRPr="005D550B">
        <w:rPr>
          <w:rFonts w:asciiTheme="minorHAnsi" w:hAnsiTheme="minorHAnsi"/>
          <w:noProof/>
          <w:sz w:val="22"/>
          <w:szCs w:val="22"/>
        </w:rPr>
        <w:t xml:space="preserve">Wae Sano Geothermal Project. </w:t>
      </w:r>
      <w:r w:rsidRPr="005D550B">
        <w:rPr>
          <w:rFonts w:asciiTheme="minorHAnsi" w:hAnsiTheme="minorHAnsi"/>
          <w:i/>
          <w:iCs/>
          <w:noProof/>
          <w:sz w:val="22"/>
          <w:szCs w:val="22"/>
        </w:rPr>
        <w:t>BIO Web of Conferences</w:t>
      </w:r>
      <w:r w:rsidRPr="005D550B">
        <w:rPr>
          <w:rFonts w:asciiTheme="minorHAnsi" w:hAnsiTheme="minorHAnsi"/>
          <w:noProof/>
          <w:sz w:val="22"/>
          <w:szCs w:val="22"/>
        </w:rPr>
        <w:t xml:space="preserve">, </w:t>
      </w:r>
      <w:r w:rsidRPr="005D550B">
        <w:rPr>
          <w:rFonts w:asciiTheme="minorHAnsi" w:hAnsiTheme="minorHAnsi"/>
          <w:i/>
          <w:iCs/>
          <w:noProof/>
          <w:sz w:val="22"/>
          <w:szCs w:val="22"/>
        </w:rPr>
        <w:t>201</w:t>
      </w:r>
      <w:r w:rsidRPr="005D550B">
        <w:rPr>
          <w:rFonts w:asciiTheme="minorHAnsi" w:hAnsiTheme="minorHAnsi"/>
          <w:noProof/>
          <w:sz w:val="22"/>
          <w:szCs w:val="22"/>
        </w:rPr>
        <w:t xml:space="preserve">(21), 1–9. </w:t>
      </w:r>
      <w:hyperlink r:id="rId36" w:history="1">
        <w:r w:rsidRPr="005D550B">
          <w:rPr>
            <w:rStyle w:val="Hyperlink"/>
            <w:rFonts w:asciiTheme="minorHAnsi" w:hAnsiTheme="minorHAnsi"/>
            <w:noProof/>
            <w:sz w:val="22"/>
            <w:szCs w:val="22"/>
          </w:rPr>
          <w:t>https://doi.org/10.1051/bioconf/202520101004</w:t>
        </w:r>
      </w:hyperlink>
      <w:r w:rsidRPr="005D550B">
        <w:rPr>
          <w:rFonts w:asciiTheme="minorHAnsi" w:hAnsiTheme="minorHAnsi"/>
          <w:noProof/>
          <w:sz w:val="22"/>
          <w:szCs w:val="22"/>
        </w:rPr>
        <w:t xml:space="preserve"> </w:t>
      </w:r>
    </w:p>
    <w:p w14:paraId="65AF6091" w14:textId="3BB5DED1"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Silalahi, A. S., Yulinda, Lubis, A. S., Gultom, P., Marpaung, J. L., &amp; Nurhadi, I. (2024). Impacts of PT Pertamina </w:t>
      </w:r>
      <w:r w:rsidR="00BC3DDB" w:rsidRPr="005D550B">
        <w:rPr>
          <w:rFonts w:asciiTheme="minorHAnsi" w:hAnsiTheme="minorHAnsi"/>
          <w:noProof/>
          <w:sz w:val="22"/>
          <w:szCs w:val="22"/>
        </w:rPr>
        <w:t>geothermal sibayak’s exploration on economic, social, and environmental aspects</w:t>
      </w:r>
      <w:r w:rsidRPr="005D550B">
        <w:rPr>
          <w:rFonts w:asciiTheme="minorHAnsi" w:hAnsiTheme="minorHAnsi"/>
          <w:noProof/>
          <w:sz w:val="22"/>
          <w:szCs w:val="22"/>
        </w:rPr>
        <w:t xml:space="preserve">: A </w:t>
      </w:r>
      <w:r w:rsidR="00BC3DDB" w:rsidRPr="005D550B">
        <w:rPr>
          <w:rFonts w:asciiTheme="minorHAnsi" w:hAnsiTheme="minorHAnsi"/>
          <w:noProof/>
          <w:sz w:val="22"/>
          <w:szCs w:val="22"/>
        </w:rPr>
        <w:t>case st</w:t>
      </w:r>
      <w:r w:rsidRPr="005D550B">
        <w:rPr>
          <w:rFonts w:asciiTheme="minorHAnsi" w:hAnsiTheme="minorHAnsi"/>
          <w:noProof/>
          <w:sz w:val="22"/>
          <w:szCs w:val="22"/>
        </w:rPr>
        <w:t xml:space="preserve">udy in Semangat Gunung Village, Karo District. </w:t>
      </w:r>
      <w:r w:rsidRPr="005D550B">
        <w:rPr>
          <w:rFonts w:asciiTheme="minorHAnsi" w:hAnsiTheme="minorHAnsi"/>
          <w:i/>
          <w:iCs/>
          <w:noProof/>
          <w:sz w:val="22"/>
          <w:szCs w:val="22"/>
        </w:rPr>
        <w:t>International Journal of Energy Production and Management</w:t>
      </w:r>
      <w:r w:rsidRPr="005D550B">
        <w:rPr>
          <w:rFonts w:asciiTheme="minorHAnsi" w:hAnsiTheme="minorHAnsi"/>
          <w:noProof/>
          <w:sz w:val="22"/>
          <w:szCs w:val="22"/>
        </w:rPr>
        <w:t xml:space="preserve">, </w:t>
      </w:r>
      <w:r w:rsidRPr="005D550B">
        <w:rPr>
          <w:rFonts w:asciiTheme="minorHAnsi" w:hAnsiTheme="minorHAnsi"/>
          <w:i/>
          <w:iCs/>
          <w:noProof/>
          <w:sz w:val="22"/>
          <w:szCs w:val="22"/>
        </w:rPr>
        <w:t>9</w:t>
      </w:r>
      <w:r w:rsidRPr="005D550B">
        <w:rPr>
          <w:rFonts w:asciiTheme="minorHAnsi" w:hAnsiTheme="minorHAnsi"/>
          <w:noProof/>
          <w:sz w:val="22"/>
          <w:szCs w:val="22"/>
        </w:rPr>
        <w:t xml:space="preserve">(3), 161–170. </w:t>
      </w:r>
      <w:hyperlink r:id="rId37" w:history="1">
        <w:r w:rsidRPr="005D550B">
          <w:rPr>
            <w:rStyle w:val="Hyperlink"/>
            <w:rFonts w:asciiTheme="minorHAnsi" w:hAnsiTheme="minorHAnsi"/>
            <w:noProof/>
            <w:sz w:val="22"/>
            <w:szCs w:val="22"/>
          </w:rPr>
          <w:t>https://doi.org/10.18280/ijepm.090305</w:t>
        </w:r>
      </w:hyperlink>
      <w:r w:rsidRPr="005D550B">
        <w:rPr>
          <w:rFonts w:asciiTheme="minorHAnsi" w:hAnsiTheme="minorHAnsi"/>
          <w:noProof/>
          <w:sz w:val="22"/>
          <w:szCs w:val="22"/>
        </w:rPr>
        <w:t xml:space="preserve"> </w:t>
      </w:r>
    </w:p>
    <w:p w14:paraId="14188C58" w14:textId="15FE3276"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Sovacool, B. K. (2021). Who are the victims of low-carbon transitions? Towards a political ecology of climate change mitigation. </w:t>
      </w:r>
      <w:r w:rsidRPr="005D550B">
        <w:rPr>
          <w:rFonts w:asciiTheme="minorHAnsi" w:hAnsiTheme="minorHAnsi"/>
          <w:i/>
          <w:iCs/>
          <w:noProof/>
          <w:sz w:val="22"/>
          <w:szCs w:val="22"/>
        </w:rPr>
        <w:t>Energy Research and Social Science</w:t>
      </w:r>
      <w:r w:rsidRPr="005D550B">
        <w:rPr>
          <w:rFonts w:asciiTheme="minorHAnsi" w:hAnsiTheme="minorHAnsi"/>
          <w:noProof/>
          <w:sz w:val="22"/>
          <w:szCs w:val="22"/>
        </w:rPr>
        <w:t xml:space="preserve">, </w:t>
      </w:r>
      <w:r w:rsidRPr="005D550B">
        <w:rPr>
          <w:rFonts w:asciiTheme="minorHAnsi" w:hAnsiTheme="minorHAnsi"/>
          <w:i/>
          <w:iCs/>
          <w:noProof/>
          <w:sz w:val="22"/>
          <w:szCs w:val="22"/>
        </w:rPr>
        <w:t>73</w:t>
      </w:r>
      <w:r w:rsidRPr="005D550B">
        <w:rPr>
          <w:rFonts w:asciiTheme="minorHAnsi" w:hAnsiTheme="minorHAnsi"/>
          <w:noProof/>
          <w:sz w:val="22"/>
          <w:szCs w:val="22"/>
        </w:rPr>
        <w:t xml:space="preserve">, 101916. </w:t>
      </w:r>
      <w:hyperlink r:id="rId38" w:history="1">
        <w:r w:rsidRPr="005D550B">
          <w:rPr>
            <w:rStyle w:val="Hyperlink"/>
            <w:rFonts w:asciiTheme="minorHAnsi" w:hAnsiTheme="minorHAnsi"/>
            <w:noProof/>
            <w:sz w:val="22"/>
            <w:szCs w:val="22"/>
          </w:rPr>
          <w:t>https://doi.org/10.1016/j.erss.2021.101916</w:t>
        </w:r>
      </w:hyperlink>
      <w:r w:rsidRPr="005D550B">
        <w:rPr>
          <w:rFonts w:asciiTheme="minorHAnsi" w:hAnsiTheme="minorHAnsi"/>
          <w:noProof/>
          <w:sz w:val="22"/>
          <w:szCs w:val="22"/>
        </w:rPr>
        <w:t xml:space="preserve"> </w:t>
      </w:r>
    </w:p>
    <w:p w14:paraId="0CCCD481" w14:textId="38C9D80C"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Strakosch, E. (2014). Politics of </w:t>
      </w:r>
      <w:r w:rsidR="00E17238">
        <w:rPr>
          <w:rFonts w:asciiTheme="minorHAnsi" w:hAnsiTheme="minorHAnsi"/>
          <w:noProof/>
          <w:sz w:val="22"/>
          <w:szCs w:val="22"/>
        </w:rPr>
        <w:t>i</w:t>
      </w:r>
      <w:r w:rsidRPr="005D550B">
        <w:rPr>
          <w:rFonts w:asciiTheme="minorHAnsi" w:hAnsiTheme="minorHAnsi"/>
          <w:noProof/>
          <w:sz w:val="22"/>
          <w:szCs w:val="22"/>
        </w:rPr>
        <w:t xml:space="preserve">ndigenous development. </w:t>
      </w:r>
      <w:r w:rsidRPr="005D550B">
        <w:rPr>
          <w:rFonts w:asciiTheme="minorHAnsi" w:hAnsiTheme="minorHAnsi"/>
          <w:i/>
          <w:iCs/>
          <w:noProof/>
          <w:sz w:val="22"/>
          <w:szCs w:val="22"/>
        </w:rPr>
        <w:t>The Politics of Development: A Survey</w:t>
      </w:r>
      <w:r w:rsidRPr="005D550B">
        <w:rPr>
          <w:rFonts w:asciiTheme="minorHAnsi" w:hAnsiTheme="minorHAnsi"/>
          <w:noProof/>
          <w:sz w:val="22"/>
          <w:szCs w:val="22"/>
        </w:rPr>
        <w:t xml:space="preserve">. </w:t>
      </w:r>
      <w:hyperlink r:id="rId39" w:history="1">
        <w:r w:rsidRPr="005D550B">
          <w:rPr>
            <w:rStyle w:val="Hyperlink"/>
            <w:rFonts w:asciiTheme="minorHAnsi" w:hAnsiTheme="minorHAnsi"/>
            <w:noProof/>
            <w:sz w:val="22"/>
            <w:szCs w:val="22"/>
          </w:rPr>
          <w:t>https://doi.org/10.4324/9780203804919-4</w:t>
        </w:r>
      </w:hyperlink>
      <w:r w:rsidRPr="005D550B">
        <w:rPr>
          <w:rFonts w:asciiTheme="minorHAnsi" w:hAnsiTheme="minorHAnsi"/>
          <w:noProof/>
          <w:sz w:val="22"/>
          <w:szCs w:val="22"/>
        </w:rPr>
        <w:t xml:space="preserve"> </w:t>
      </w:r>
    </w:p>
    <w:p w14:paraId="290105BF" w14:textId="25266FBF"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Sud, N. (2025). Unjust energy transition: Vignettes from the COPs, climate finance and a coal hotspot. </w:t>
      </w:r>
      <w:r w:rsidRPr="005D550B">
        <w:rPr>
          <w:rFonts w:asciiTheme="minorHAnsi" w:hAnsiTheme="minorHAnsi"/>
          <w:i/>
          <w:iCs/>
          <w:noProof/>
          <w:sz w:val="22"/>
          <w:szCs w:val="22"/>
        </w:rPr>
        <w:t>World Development</w:t>
      </w:r>
      <w:r w:rsidRPr="005D550B">
        <w:rPr>
          <w:rFonts w:asciiTheme="minorHAnsi" w:hAnsiTheme="minorHAnsi"/>
          <w:noProof/>
          <w:sz w:val="22"/>
          <w:szCs w:val="22"/>
        </w:rPr>
        <w:t xml:space="preserve">, </w:t>
      </w:r>
      <w:r w:rsidRPr="005D550B">
        <w:rPr>
          <w:rFonts w:asciiTheme="minorHAnsi" w:hAnsiTheme="minorHAnsi"/>
          <w:i/>
          <w:iCs/>
          <w:noProof/>
          <w:sz w:val="22"/>
          <w:szCs w:val="22"/>
        </w:rPr>
        <w:t>190</w:t>
      </w:r>
      <w:r w:rsidRPr="005D550B">
        <w:rPr>
          <w:rFonts w:asciiTheme="minorHAnsi" w:hAnsiTheme="minorHAnsi"/>
          <w:noProof/>
          <w:sz w:val="22"/>
          <w:szCs w:val="22"/>
        </w:rPr>
        <w:t xml:space="preserve">, 106906. </w:t>
      </w:r>
      <w:hyperlink r:id="rId40" w:history="1">
        <w:r w:rsidRPr="005D550B">
          <w:rPr>
            <w:rStyle w:val="Hyperlink"/>
            <w:rFonts w:asciiTheme="minorHAnsi" w:hAnsiTheme="minorHAnsi"/>
            <w:noProof/>
            <w:sz w:val="22"/>
            <w:szCs w:val="22"/>
          </w:rPr>
          <w:t>https://doi.org/10.1016/j.worlddev.2024.106906</w:t>
        </w:r>
      </w:hyperlink>
      <w:r w:rsidRPr="005D550B">
        <w:rPr>
          <w:rFonts w:asciiTheme="minorHAnsi" w:hAnsiTheme="minorHAnsi"/>
          <w:noProof/>
          <w:sz w:val="22"/>
          <w:szCs w:val="22"/>
        </w:rPr>
        <w:t xml:space="preserve"> </w:t>
      </w:r>
    </w:p>
    <w:p w14:paraId="274642A9" w14:textId="72DE387E"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Sun, J., Yang, Y., &amp; Zhou, P. (2026). Mitigating local opposition in renewable energy projects expansion: Evidence from Denmark. </w:t>
      </w:r>
      <w:r w:rsidRPr="005D550B">
        <w:rPr>
          <w:rFonts w:asciiTheme="minorHAnsi" w:hAnsiTheme="minorHAnsi"/>
          <w:i/>
          <w:iCs/>
          <w:noProof/>
          <w:sz w:val="22"/>
          <w:szCs w:val="22"/>
        </w:rPr>
        <w:t>Renewable Energy</w:t>
      </w:r>
      <w:r w:rsidRPr="005D550B">
        <w:rPr>
          <w:rFonts w:asciiTheme="minorHAnsi" w:hAnsiTheme="minorHAnsi"/>
          <w:noProof/>
          <w:sz w:val="22"/>
          <w:szCs w:val="22"/>
        </w:rPr>
        <w:t xml:space="preserve">, </w:t>
      </w:r>
      <w:r w:rsidRPr="005D550B">
        <w:rPr>
          <w:rFonts w:asciiTheme="minorHAnsi" w:hAnsiTheme="minorHAnsi"/>
          <w:i/>
          <w:iCs/>
          <w:noProof/>
          <w:sz w:val="22"/>
          <w:szCs w:val="22"/>
        </w:rPr>
        <w:t>257</w:t>
      </w:r>
      <w:r w:rsidRPr="005D550B">
        <w:rPr>
          <w:rFonts w:asciiTheme="minorHAnsi" w:hAnsiTheme="minorHAnsi"/>
          <w:noProof/>
          <w:sz w:val="22"/>
          <w:szCs w:val="22"/>
        </w:rPr>
        <w:t xml:space="preserve">, 124902. </w:t>
      </w:r>
      <w:hyperlink r:id="rId41" w:history="1">
        <w:r w:rsidRPr="005D550B">
          <w:rPr>
            <w:rStyle w:val="Hyperlink"/>
            <w:rFonts w:asciiTheme="minorHAnsi" w:hAnsiTheme="minorHAnsi"/>
            <w:noProof/>
            <w:sz w:val="22"/>
            <w:szCs w:val="22"/>
          </w:rPr>
          <w:t>https://doi.org/10.1016/j.renene.2025.124902</w:t>
        </w:r>
      </w:hyperlink>
      <w:r w:rsidRPr="005D550B">
        <w:rPr>
          <w:rFonts w:asciiTheme="minorHAnsi" w:hAnsiTheme="minorHAnsi"/>
          <w:noProof/>
          <w:sz w:val="22"/>
          <w:szCs w:val="22"/>
        </w:rPr>
        <w:t xml:space="preserve"> </w:t>
      </w:r>
    </w:p>
    <w:p w14:paraId="4D7811CE" w14:textId="63C09816"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Susilowati, M. H., Smith, J. D., Maarif, S., &amp; Cahyono, E. (2026). Geothermal </w:t>
      </w:r>
      <w:r w:rsidR="00BC3DDB" w:rsidRPr="005D550B">
        <w:rPr>
          <w:rFonts w:asciiTheme="minorHAnsi" w:hAnsiTheme="minorHAnsi"/>
          <w:noProof/>
          <w:sz w:val="22"/>
          <w:szCs w:val="22"/>
        </w:rPr>
        <w:t xml:space="preserve">narratives and grassroots resistance </w:t>
      </w:r>
      <w:r w:rsidRPr="005D550B">
        <w:rPr>
          <w:rFonts w:asciiTheme="minorHAnsi" w:hAnsiTheme="minorHAnsi"/>
          <w:noProof/>
          <w:sz w:val="22"/>
          <w:szCs w:val="22"/>
        </w:rPr>
        <w:t>in Indonesia: Decolonial</w:t>
      </w:r>
      <w:r w:rsidR="00BC3DDB" w:rsidRPr="005D550B">
        <w:rPr>
          <w:rFonts w:asciiTheme="minorHAnsi" w:hAnsiTheme="minorHAnsi"/>
          <w:noProof/>
          <w:sz w:val="22"/>
          <w:szCs w:val="22"/>
        </w:rPr>
        <w:t xml:space="preserve"> frameworks for energy transitions and environmental justice</w:t>
      </w:r>
      <w:r w:rsidRPr="005D550B">
        <w:rPr>
          <w:rFonts w:asciiTheme="minorHAnsi" w:hAnsiTheme="minorHAnsi"/>
          <w:noProof/>
          <w:sz w:val="22"/>
          <w:szCs w:val="22"/>
        </w:rPr>
        <w:t xml:space="preserve">. </w:t>
      </w:r>
      <w:r w:rsidRPr="005D550B">
        <w:rPr>
          <w:rFonts w:asciiTheme="minorHAnsi" w:hAnsiTheme="minorHAnsi"/>
          <w:i/>
          <w:iCs/>
          <w:noProof/>
          <w:sz w:val="22"/>
          <w:szCs w:val="22"/>
        </w:rPr>
        <w:t>Capitalism, Nature, Socialism</w:t>
      </w:r>
      <w:r w:rsidRPr="005D550B">
        <w:rPr>
          <w:rFonts w:asciiTheme="minorHAnsi" w:hAnsiTheme="minorHAnsi"/>
          <w:noProof/>
          <w:sz w:val="22"/>
          <w:szCs w:val="22"/>
        </w:rPr>
        <w:t xml:space="preserve">, </w:t>
      </w:r>
      <w:r w:rsidRPr="005D550B">
        <w:rPr>
          <w:rFonts w:asciiTheme="minorHAnsi" w:hAnsiTheme="minorHAnsi"/>
          <w:i/>
          <w:iCs/>
          <w:noProof/>
          <w:sz w:val="22"/>
          <w:szCs w:val="22"/>
        </w:rPr>
        <w:t>5752</w:t>
      </w:r>
      <w:r w:rsidRPr="005D550B">
        <w:rPr>
          <w:rFonts w:asciiTheme="minorHAnsi" w:hAnsiTheme="minorHAnsi"/>
          <w:noProof/>
          <w:sz w:val="22"/>
          <w:szCs w:val="22"/>
        </w:rPr>
        <w:t xml:space="preserve">, 1–17. </w:t>
      </w:r>
      <w:hyperlink r:id="rId42" w:history="1">
        <w:r w:rsidRPr="005D550B">
          <w:rPr>
            <w:rStyle w:val="Hyperlink"/>
            <w:rFonts w:asciiTheme="minorHAnsi" w:hAnsiTheme="minorHAnsi"/>
            <w:noProof/>
            <w:sz w:val="22"/>
            <w:szCs w:val="22"/>
          </w:rPr>
          <w:t>https://doi.org/10.1080/10455752.2025.2607977</w:t>
        </w:r>
      </w:hyperlink>
      <w:r w:rsidRPr="005D550B">
        <w:rPr>
          <w:rFonts w:asciiTheme="minorHAnsi" w:hAnsiTheme="minorHAnsi"/>
          <w:noProof/>
          <w:sz w:val="22"/>
          <w:szCs w:val="22"/>
        </w:rPr>
        <w:t xml:space="preserve"> </w:t>
      </w:r>
    </w:p>
    <w:p w14:paraId="124FDF76" w14:textId="0FDF14BF"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Tittor, A. (2026). Postfossil extractivism. A new lens on decarbonization’s land and material intensity. </w:t>
      </w:r>
      <w:r w:rsidRPr="005D550B">
        <w:rPr>
          <w:rFonts w:asciiTheme="minorHAnsi" w:hAnsiTheme="minorHAnsi"/>
          <w:i/>
          <w:iCs/>
          <w:noProof/>
          <w:sz w:val="22"/>
          <w:szCs w:val="22"/>
        </w:rPr>
        <w:t>Journal of Peasant Studies</w:t>
      </w:r>
      <w:r w:rsidRPr="005D550B">
        <w:rPr>
          <w:rFonts w:asciiTheme="minorHAnsi" w:hAnsiTheme="minorHAnsi"/>
          <w:noProof/>
          <w:sz w:val="22"/>
          <w:szCs w:val="22"/>
        </w:rPr>
        <w:t xml:space="preserve">, </w:t>
      </w:r>
      <w:r w:rsidRPr="005D550B">
        <w:rPr>
          <w:rFonts w:asciiTheme="minorHAnsi" w:hAnsiTheme="minorHAnsi"/>
          <w:i/>
          <w:iCs/>
          <w:noProof/>
          <w:sz w:val="22"/>
          <w:szCs w:val="22"/>
        </w:rPr>
        <w:t>6150</w:t>
      </w:r>
      <w:r w:rsidRPr="005D550B">
        <w:rPr>
          <w:rFonts w:asciiTheme="minorHAnsi" w:hAnsiTheme="minorHAnsi"/>
          <w:noProof/>
          <w:sz w:val="22"/>
          <w:szCs w:val="22"/>
        </w:rPr>
        <w:t xml:space="preserve">, 1–24. </w:t>
      </w:r>
      <w:hyperlink r:id="rId43" w:history="1">
        <w:r w:rsidRPr="005D550B">
          <w:rPr>
            <w:rStyle w:val="Hyperlink"/>
            <w:rFonts w:asciiTheme="minorHAnsi" w:hAnsiTheme="minorHAnsi"/>
            <w:noProof/>
            <w:sz w:val="22"/>
            <w:szCs w:val="22"/>
          </w:rPr>
          <w:t>https://doi.org/10.1080/03066150.2025.2606878</w:t>
        </w:r>
      </w:hyperlink>
      <w:r w:rsidRPr="005D550B">
        <w:rPr>
          <w:rFonts w:asciiTheme="minorHAnsi" w:hAnsiTheme="minorHAnsi"/>
          <w:noProof/>
          <w:sz w:val="22"/>
          <w:szCs w:val="22"/>
        </w:rPr>
        <w:t xml:space="preserve"> </w:t>
      </w:r>
    </w:p>
    <w:p w14:paraId="1D3C5A42" w14:textId="04684F37"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Trisiah, A., de Vries, G., &amp; de Bruijn, H. (2022). Framing </w:t>
      </w:r>
      <w:r w:rsidR="00BC3DDB" w:rsidRPr="005D550B">
        <w:rPr>
          <w:rFonts w:asciiTheme="minorHAnsi" w:hAnsiTheme="minorHAnsi"/>
          <w:noProof/>
          <w:sz w:val="22"/>
          <w:szCs w:val="22"/>
        </w:rPr>
        <w:t xml:space="preserve">geothermal energy </w:t>
      </w:r>
      <w:r w:rsidRPr="005D550B">
        <w:rPr>
          <w:rFonts w:asciiTheme="minorHAnsi" w:hAnsiTheme="minorHAnsi"/>
          <w:noProof/>
          <w:sz w:val="22"/>
          <w:szCs w:val="22"/>
        </w:rPr>
        <w:t xml:space="preserve">in Indonesia: A </w:t>
      </w:r>
      <w:r w:rsidR="00BC3DDB" w:rsidRPr="005D550B">
        <w:rPr>
          <w:rFonts w:asciiTheme="minorHAnsi" w:hAnsiTheme="minorHAnsi"/>
          <w:noProof/>
          <w:sz w:val="22"/>
          <w:szCs w:val="22"/>
        </w:rPr>
        <w:t>media analysis in a country with huge potential</w:t>
      </w:r>
      <w:r w:rsidRPr="005D550B">
        <w:rPr>
          <w:rFonts w:asciiTheme="minorHAnsi" w:hAnsiTheme="minorHAnsi"/>
          <w:noProof/>
          <w:sz w:val="22"/>
          <w:szCs w:val="22"/>
        </w:rPr>
        <w:t xml:space="preserve">. </w:t>
      </w:r>
      <w:r w:rsidRPr="005D550B">
        <w:rPr>
          <w:rFonts w:asciiTheme="minorHAnsi" w:hAnsiTheme="minorHAnsi"/>
          <w:i/>
          <w:iCs/>
          <w:noProof/>
          <w:sz w:val="22"/>
          <w:szCs w:val="22"/>
        </w:rPr>
        <w:t>Environmental Communication</w:t>
      </w:r>
      <w:r w:rsidRPr="005D550B">
        <w:rPr>
          <w:rFonts w:asciiTheme="minorHAnsi" w:hAnsiTheme="minorHAnsi"/>
          <w:noProof/>
          <w:sz w:val="22"/>
          <w:szCs w:val="22"/>
        </w:rPr>
        <w:t xml:space="preserve">, </w:t>
      </w:r>
      <w:r w:rsidRPr="005D550B">
        <w:rPr>
          <w:rFonts w:asciiTheme="minorHAnsi" w:hAnsiTheme="minorHAnsi"/>
          <w:i/>
          <w:iCs/>
          <w:noProof/>
          <w:sz w:val="22"/>
          <w:szCs w:val="22"/>
        </w:rPr>
        <w:t>16</w:t>
      </w:r>
      <w:r w:rsidRPr="005D550B">
        <w:rPr>
          <w:rFonts w:asciiTheme="minorHAnsi" w:hAnsiTheme="minorHAnsi"/>
          <w:noProof/>
          <w:sz w:val="22"/>
          <w:szCs w:val="22"/>
        </w:rPr>
        <w:t xml:space="preserve">(7), 993–1001. </w:t>
      </w:r>
      <w:hyperlink r:id="rId44" w:history="1">
        <w:r w:rsidRPr="005D550B">
          <w:rPr>
            <w:rStyle w:val="Hyperlink"/>
            <w:rFonts w:asciiTheme="minorHAnsi" w:hAnsiTheme="minorHAnsi"/>
            <w:noProof/>
            <w:sz w:val="22"/>
            <w:szCs w:val="22"/>
          </w:rPr>
          <w:t>https://doi.org/10.1080/17524032.2022.2144403</w:t>
        </w:r>
      </w:hyperlink>
      <w:r w:rsidRPr="005D550B">
        <w:rPr>
          <w:rFonts w:asciiTheme="minorHAnsi" w:hAnsiTheme="minorHAnsi"/>
          <w:noProof/>
          <w:sz w:val="22"/>
          <w:szCs w:val="22"/>
        </w:rPr>
        <w:t xml:space="preserve"> </w:t>
      </w:r>
    </w:p>
    <w:p w14:paraId="2F5F45C8" w14:textId="6C10E313" w:rsidR="00DD5A99" w:rsidRPr="005D550B" w:rsidRDefault="00DD5A99" w:rsidP="00DD5A99">
      <w:pPr>
        <w:widowControl w:val="0"/>
        <w:autoSpaceDE w:val="0"/>
        <w:autoSpaceDN w:val="0"/>
        <w:adjustRightInd w:val="0"/>
        <w:ind w:left="480" w:hanging="480"/>
        <w:rPr>
          <w:rFonts w:asciiTheme="minorHAnsi" w:hAnsiTheme="minorHAnsi"/>
          <w:noProof/>
          <w:sz w:val="22"/>
          <w:szCs w:val="22"/>
        </w:rPr>
      </w:pPr>
      <w:r w:rsidRPr="005D550B">
        <w:rPr>
          <w:rFonts w:asciiTheme="minorHAnsi" w:hAnsiTheme="minorHAnsi"/>
          <w:noProof/>
          <w:sz w:val="22"/>
          <w:szCs w:val="22"/>
        </w:rPr>
        <w:t xml:space="preserve">Worrall, L., Roberts, L., &amp; Whitley, S. (2018). </w:t>
      </w:r>
      <w:r w:rsidRPr="005D550B">
        <w:rPr>
          <w:rFonts w:asciiTheme="minorHAnsi" w:hAnsiTheme="minorHAnsi"/>
          <w:i/>
          <w:iCs/>
          <w:noProof/>
          <w:sz w:val="22"/>
          <w:szCs w:val="22"/>
        </w:rPr>
        <w:t>Enabling a just transition to a low-carbon economy in the energy sector Progress and lessons in Emerging Markets A report prepared for the HSBC Centre of Sustainable Finance by the Overseas Development Institute Acknowledgements</w:t>
      </w:r>
      <w:r w:rsidRPr="005D550B">
        <w:rPr>
          <w:rFonts w:asciiTheme="minorHAnsi" w:hAnsiTheme="minorHAnsi"/>
          <w:noProof/>
          <w:sz w:val="22"/>
          <w:szCs w:val="22"/>
        </w:rPr>
        <w:t>.</w:t>
      </w:r>
      <w:r w:rsidR="00D6424B" w:rsidRPr="005D550B">
        <w:rPr>
          <w:rFonts w:asciiTheme="minorHAnsi" w:hAnsiTheme="minorHAnsi"/>
          <w:noProof/>
          <w:sz w:val="22"/>
          <w:szCs w:val="22"/>
        </w:rPr>
        <w:t xml:space="preserve"> ODI.</w:t>
      </w:r>
    </w:p>
    <w:p w14:paraId="4E52B767" w14:textId="56D70215" w:rsidR="00E06797" w:rsidRPr="005D550B" w:rsidRDefault="00DD5A99" w:rsidP="00DD5A99">
      <w:pPr>
        <w:ind w:left="270" w:hanging="270"/>
        <w:rPr>
          <w:rFonts w:asciiTheme="minorHAnsi" w:eastAsia="Cambria" w:hAnsiTheme="minorHAnsi" w:cs="Cambria"/>
          <w:sz w:val="22"/>
          <w:szCs w:val="22"/>
        </w:rPr>
      </w:pPr>
      <w:r w:rsidRPr="005D550B">
        <w:rPr>
          <w:rFonts w:asciiTheme="minorHAnsi" w:hAnsiTheme="minorHAnsi"/>
          <w:noProof/>
          <w:sz w:val="22"/>
          <w:szCs w:val="22"/>
        </w:rPr>
        <w:t xml:space="preserve">Yudha, S. W., Tjahjono, B., &amp; Longhurst, P. (2022). Unearthing </w:t>
      </w:r>
      <w:r w:rsidR="00BC3DDB" w:rsidRPr="005D550B">
        <w:rPr>
          <w:rFonts w:asciiTheme="minorHAnsi" w:hAnsiTheme="minorHAnsi"/>
          <w:noProof/>
          <w:sz w:val="22"/>
          <w:szCs w:val="22"/>
        </w:rPr>
        <w:t>the dynamics of indonesia’s geothermal energy development</w:t>
      </w:r>
      <w:r w:rsidRPr="005D550B">
        <w:rPr>
          <w:rFonts w:asciiTheme="minorHAnsi" w:hAnsiTheme="minorHAnsi"/>
          <w:noProof/>
          <w:sz w:val="22"/>
          <w:szCs w:val="22"/>
        </w:rPr>
        <w:t xml:space="preserve">. </w:t>
      </w:r>
      <w:r w:rsidRPr="005D550B">
        <w:rPr>
          <w:rFonts w:asciiTheme="minorHAnsi" w:hAnsiTheme="minorHAnsi"/>
          <w:i/>
          <w:iCs/>
          <w:noProof/>
          <w:sz w:val="22"/>
          <w:szCs w:val="22"/>
        </w:rPr>
        <w:t>Energies</w:t>
      </w:r>
      <w:r w:rsidRPr="005D550B">
        <w:rPr>
          <w:rFonts w:asciiTheme="minorHAnsi" w:hAnsiTheme="minorHAnsi"/>
          <w:noProof/>
          <w:sz w:val="22"/>
          <w:szCs w:val="22"/>
        </w:rPr>
        <w:t xml:space="preserve">, </w:t>
      </w:r>
      <w:r w:rsidRPr="005D550B">
        <w:rPr>
          <w:rFonts w:asciiTheme="minorHAnsi" w:hAnsiTheme="minorHAnsi"/>
          <w:i/>
          <w:iCs/>
          <w:noProof/>
          <w:sz w:val="22"/>
          <w:szCs w:val="22"/>
        </w:rPr>
        <w:t>15</w:t>
      </w:r>
      <w:r w:rsidRPr="005D550B">
        <w:rPr>
          <w:rFonts w:asciiTheme="minorHAnsi" w:hAnsiTheme="minorHAnsi"/>
          <w:noProof/>
          <w:sz w:val="22"/>
          <w:szCs w:val="22"/>
        </w:rPr>
        <w:t>(5009), 1–18.</w:t>
      </w:r>
      <w:r w:rsidR="00D6424B" w:rsidRPr="005D550B">
        <w:rPr>
          <w:rFonts w:asciiTheme="minorHAnsi" w:hAnsiTheme="minorHAnsi"/>
          <w:noProof/>
          <w:sz w:val="22"/>
          <w:szCs w:val="22"/>
        </w:rPr>
        <w:t xml:space="preserve"> </w:t>
      </w:r>
      <w:hyperlink r:id="rId45" w:history="1">
        <w:r w:rsidR="00D6424B" w:rsidRPr="005D550B">
          <w:rPr>
            <w:rStyle w:val="Hyperlink"/>
            <w:rFonts w:asciiTheme="minorHAnsi" w:hAnsiTheme="minorHAnsi"/>
            <w:noProof/>
            <w:sz w:val="22"/>
            <w:szCs w:val="22"/>
          </w:rPr>
          <w:t>https://doi.org/10.3390/en15145009</w:t>
        </w:r>
      </w:hyperlink>
      <w:r w:rsidR="00D6424B" w:rsidRPr="005D550B">
        <w:rPr>
          <w:rFonts w:asciiTheme="minorHAnsi" w:hAnsiTheme="minorHAnsi"/>
          <w:noProof/>
          <w:sz w:val="22"/>
          <w:szCs w:val="22"/>
        </w:rPr>
        <w:t xml:space="preserve"> </w:t>
      </w:r>
    </w:p>
    <w:p w14:paraId="1FD77D98" w14:textId="77777777" w:rsidR="00C25B28" w:rsidRPr="005D550B" w:rsidRDefault="00C25B28" w:rsidP="00AE2D5B">
      <w:pPr>
        <w:pBdr>
          <w:top w:val="nil"/>
          <w:left w:val="nil"/>
          <w:bottom w:val="nil"/>
          <w:right w:val="nil"/>
          <w:between w:val="nil"/>
        </w:pBdr>
        <w:ind w:right="511"/>
        <w:rPr>
          <w:rFonts w:ascii="Cambria" w:eastAsia="Cambria" w:hAnsi="Cambria" w:cs="Cambria"/>
          <w:color w:val="000000"/>
          <w:sz w:val="22"/>
          <w:szCs w:val="22"/>
        </w:rPr>
      </w:pPr>
    </w:p>
    <w:tbl>
      <w:tblPr>
        <w:tblStyle w:val="2"/>
        <w:tblpPr w:leftFromText="180" w:rightFromText="180" w:vertAnchor="text" w:tblpY="177"/>
        <w:tblW w:w="85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40"/>
      </w:tblGrid>
      <w:tr w:rsidR="00E06797" w14:paraId="39D5F001" w14:textId="77777777" w:rsidTr="00910E98">
        <w:trPr>
          <w:trHeight w:val="2312"/>
        </w:trPr>
        <w:tc>
          <w:tcPr>
            <w:tcW w:w="8540" w:type="dxa"/>
          </w:tcPr>
          <w:p w14:paraId="62A6BB42" w14:textId="77777777" w:rsidR="00D6424B" w:rsidRPr="005D550B" w:rsidRDefault="00D6424B">
            <w:pPr>
              <w:rPr>
                <w:rFonts w:ascii="Cambria" w:eastAsia="Cambria" w:hAnsi="Cambria" w:cs="Cambria"/>
                <w:b/>
                <w:bCs/>
                <w:sz w:val="24"/>
                <w:szCs w:val="24"/>
              </w:rPr>
            </w:pPr>
          </w:p>
          <w:p w14:paraId="3F0C577D" w14:textId="31E2BE2E" w:rsidR="00E06797" w:rsidRPr="005D550B" w:rsidRDefault="00A936EE">
            <w:pPr>
              <w:rPr>
                <w:rFonts w:ascii="Cambria" w:eastAsia="Cambria" w:hAnsi="Cambria" w:cs="Cambria"/>
                <w:b/>
                <w:bCs/>
                <w:sz w:val="24"/>
                <w:szCs w:val="24"/>
              </w:rPr>
            </w:pPr>
            <w:r w:rsidRPr="005D550B">
              <w:rPr>
                <w:rFonts w:ascii="Cambria" w:eastAsia="Cambria" w:hAnsi="Cambria" w:cs="Cambria"/>
                <w:b/>
                <w:bCs/>
                <w:sz w:val="24"/>
                <w:szCs w:val="24"/>
              </w:rPr>
              <w:t>Biographies of Author</w:t>
            </w:r>
          </w:p>
          <w:p w14:paraId="57851C64" w14:textId="77777777" w:rsidR="00E06797" w:rsidRPr="005D550B" w:rsidRDefault="00A936EE">
            <w:pPr>
              <w:rPr>
                <w:rFonts w:ascii="Cambria" w:eastAsia="Cambria" w:hAnsi="Cambria" w:cs="Cambria"/>
                <w:b/>
                <w:bCs/>
                <w:sz w:val="22"/>
                <w:szCs w:val="22"/>
              </w:rPr>
            </w:pPr>
            <w:r w:rsidRPr="005D550B">
              <w:rPr>
                <w:rFonts w:ascii="Cambria" w:eastAsia="Cambria" w:hAnsi="Cambria" w:cs="Cambria"/>
                <w:b/>
                <w:bCs/>
                <w:sz w:val="22"/>
                <w:szCs w:val="22"/>
              </w:rPr>
              <w:t xml:space="preserve"> </w:t>
            </w:r>
          </w:p>
          <w:p w14:paraId="289F1B32" w14:textId="103179D3" w:rsidR="00E06797" w:rsidRPr="005D550B" w:rsidRDefault="00910E98">
            <w:pPr>
              <w:jc w:val="both"/>
              <w:rPr>
                <w:rFonts w:ascii="Cambria" w:eastAsia="Cambria" w:hAnsi="Cambria" w:cs="Cambria"/>
                <w:sz w:val="22"/>
                <w:szCs w:val="22"/>
              </w:rPr>
            </w:pPr>
            <w:r w:rsidRPr="005D550B">
              <w:rPr>
                <w:rFonts w:ascii="Cambria" w:eastAsia="Cambria" w:hAnsi="Cambria" w:cs="Cambria"/>
                <w:b/>
                <w:bCs/>
                <w:sz w:val="22"/>
                <w:szCs w:val="22"/>
              </w:rPr>
              <w:t xml:space="preserve">Andre Bonardo Yonatan </w:t>
            </w:r>
            <w:r w:rsidR="00AE2D5B" w:rsidRPr="005D550B">
              <w:rPr>
                <w:rFonts w:ascii="Cambria" w:eastAsia="Cambria" w:hAnsi="Cambria" w:cs="Cambria"/>
                <w:b/>
                <w:bCs/>
                <w:sz w:val="22"/>
                <w:szCs w:val="22"/>
              </w:rPr>
              <w:t xml:space="preserve">Sitorus, </w:t>
            </w:r>
            <w:r w:rsidR="00AE2D5B">
              <w:t>Department</w:t>
            </w:r>
            <w:r w:rsidR="00C25B28" w:rsidRPr="00C25B28">
              <w:rPr>
                <w:rFonts w:ascii="Cambria" w:eastAsia="Cambria" w:hAnsi="Cambria" w:cs="Cambria"/>
                <w:sz w:val="22"/>
                <w:szCs w:val="22"/>
              </w:rPr>
              <w:t xml:space="preserve"> of Environmental, Graduate School of Sustainable Development, Universitas Indonesia, Central Jakarta, Special Capital Region of Jakarta 10440, Indonesia</w:t>
            </w:r>
            <w:r w:rsidRPr="005D550B">
              <w:rPr>
                <w:rFonts w:ascii="Cambria" w:eastAsia="Cambria" w:hAnsi="Cambria" w:cs="Cambria"/>
                <w:sz w:val="22"/>
                <w:szCs w:val="22"/>
              </w:rPr>
              <w:t>.</w:t>
            </w:r>
          </w:p>
          <w:p w14:paraId="7AE31218" w14:textId="155A4A4A" w:rsidR="00E06797" w:rsidRPr="005D550B" w:rsidRDefault="00A936EE">
            <w:pPr>
              <w:numPr>
                <w:ilvl w:val="0"/>
                <w:numId w:val="3"/>
              </w:numPr>
              <w:pBdr>
                <w:top w:val="nil"/>
                <w:left w:val="nil"/>
                <w:bottom w:val="nil"/>
                <w:right w:val="nil"/>
                <w:between w:val="nil"/>
              </w:pBdr>
              <w:jc w:val="left"/>
            </w:pPr>
            <w:r w:rsidRPr="005D550B">
              <w:rPr>
                <w:rFonts w:ascii="Cambria" w:eastAsia="Cambria" w:hAnsi="Cambria" w:cs="Cambria"/>
                <w:sz w:val="22"/>
                <w:szCs w:val="22"/>
              </w:rPr>
              <w:t xml:space="preserve">Email: </w:t>
            </w:r>
            <w:r w:rsidR="00910E98" w:rsidRPr="005D550B">
              <w:t xml:space="preserve"> </w:t>
            </w:r>
            <w:hyperlink r:id="rId46" w:history="1">
              <w:r w:rsidR="00910E98" w:rsidRPr="005D550B">
                <w:rPr>
                  <w:rStyle w:val="Hyperlink"/>
                  <w:rFonts w:ascii="Cambria" w:eastAsia="Cambria" w:hAnsi="Cambria" w:cs="Cambria"/>
                  <w:sz w:val="22"/>
                  <w:szCs w:val="22"/>
                </w:rPr>
                <w:t>andre.bonardo51@ui.ac.id</w:t>
              </w:r>
            </w:hyperlink>
            <w:r w:rsidR="00910E98" w:rsidRPr="005D550B">
              <w:rPr>
                <w:rFonts w:ascii="Cambria" w:eastAsia="Cambria" w:hAnsi="Cambria" w:cs="Cambria"/>
                <w:sz w:val="22"/>
                <w:szCs w:val="22"/>
              </w:rPr>
              <w:t xml:space="preserve"> </w:t>
            </w:r>
          </w:p>
          <w:p w14:paraId="743A271D" w14:textId="0DE5E02C" w:rsidR="00E06797" w:rsidRPr="005D550B" w:rsidRDefault="00A936EE">
            <w:pPr>
              <w:numPr>
                <w:ilvl w:val="0"/>
                <w:numId w:val="3"/>
              </w:numPr>
              <w:pBdr>
                <w:top w:val="nil"/>
                <w:left w:val="nil"/>
                <w:bottom w:val="nil"/>
                <w:right w:val="nil"/>
                <w:between w:val="nil"/>
              </w:pBdr>
              <w:jc w:val="left"/>
            </w:pPr>
            <w:r w:rsidRPr="005D550B">
              <w:rPr>
                <w:rFonts w:ascii="Cambria" w:eastAsia="Cambria" w:hAnsi="Cambria" w:cs="Cambria"/>
                <w:sz w:val="22"/>
                <w:szCs w:val="22"/>
              </w:rPr>
              <w:t xml:space="preserve">ORCID: </w:t>
            </w:r>
            <w:r w:rsidR="00910E98" w:rsidRPr="005D550B">
              <w:rPr>
                <w:rFonts w:ascii="Cambria" w:eastAsia="Cambria" w:hAnsi="Cambria" w:cs="Cambria"/>
                <w:sz w:val="22"/>
                <w:szCs w:val="22"/>
              </w:rPr>
              <w:t>N/A</w:t>
            </w:r>
          </w:p>
          <w:p w14:paraId="75FB823C" w14:textId="244FAE48" w:rsidR="00E06797" w:rsidRPr="005D550B" w:rsidRDefault="00A936EE">
            <w:pPr>
              <w:numPr>
                <w:ilvl w:val="0"/>
                <w:numId w:val="3"/>
              </w:numPr>
              <w:pBdr>
                <w:top w:val="nil"/>
                <w:left w:val="nil"/>
                <w:bottom w:val="nil"/>
                <w:right w:val="nil"/>
                <w:between w:val="nil"/>
              </w:pBdr>
              <w:jc w:val="left"/>
            </w:pPr>
            <w:r w:rsidRPr="005D550B">
              <w:rPr>
                <w:rFonts w:ascii="Cambria" w:eastAsia="Cambria" w:hAnsi="Cambria" w:cs="Cambria"/>
                <w:sz w:val="22"/>
                <w:szCs w:val="22"/>
              </w:rPr>
              <w:t xml:space="preserve">Web of Science </w:t>
            </w:r>
            <w:proofErr w:type="spellStart"/>
            <w:r w:rsidRPr="005D550B">
              <w:rPr>
                <w:rFonts w:ascii="Cambria" w:eastAsia="Cambria" w:hAnsi="Cambria" w:cs="Cambria"/>
                <w:sz w:val="22"/>
                <w:szCs w:val="22"/>
              </w:rPr>
              <w:t>ResearcherID</w:t>
            </w:r>
            <w:proofErr w:type="spellEnd"/>
            <w:r w:rsidRPr="005D550B">
              <w:rPr>
                <w:rFonts w:ascii="Cambria" w:eastAsia="Cambria" w:hAnsi="Cambria" w:cs="Cambria"/>
                <w:sz w:val="22"/>
                <w:szCs w:val="22"/>
              </w:rPr>
              <w:t>:</w:t>
            </w:r>
            <w:r w:rsidR="00910E98" w:rsidRPr="005D550B">
              <w:rPr>
                <w:rFonts w:ascii="Cambria" w:eastAsia="Cambria" w:hAnsi="Cambria" w:cs="Cambria"/>
                <w:sz w:val="22"/>
                <w:szCs w:val="22"/>
              </w:rPr>
              <w:t xml:space="preserve"> N/A</w:t>
            </w:r>
          </w:p>
          <w:p w14:paraId="4CC03DFE" w14:textId="590B3698" w:rsidR="00E06797" w:rsidRPr="005D550B" w:rsidRDefault="00A936EE">
            <w:pPr>
              <w:numPr>
                <w:ilvl w:val="0"/>
                <w:numId w:val="3"/>
              </w:numPr>
              <w:pBdr>
                <w:top w:val="nil"/>
                <w:left w:val="nil"/>
                <w:bottom w:val="nil"/>
                <w:right w:val="nil"/>
                <w:between w:val="nil"/>
              </w:pBdr>
              <w:jc w:val="left"/>
            </w:pPr>
            <w:r w:rsidRPr="005D550B">
              <w:rPr>
                <w:rFonts w:ascii="Cambria" w:eastAsia="Cambria" w:hAnsi="Cambria" w:cs="Cambria"/>
                <w:sz w:val="22"/>
                <w:szCs w:val="22"/>
              </w:rPr>
              <w:t>Scopus Author ID:</w:t>
            </w:r>
            <w:r w:rsidR="00910E98" w:rsidRPr="005D550B">
              <w:rPr>
                <w:rFonts w:ascii="Cambria" w:eastAsia="Cambria" w:hAnsi="Cambria" w:cs="Cambria"/>
                <w:sz w:val="22"/>
                <w:szCs w:val="22"/>
              </w:rPr>
              <w:t xml:space="preserve"> N/A</w:t>
            </w:r>
          </w:p>
          <w:p w14:paraId="06171F68" w14:textId="56532D1B" w:rsidR="00E06797" w:rsidRPr="005D550B" w:rsidRDefault="00A936EE">
            <w:pPr>
              <w:numPr>
                <w:ilvl w:val="0"/>
                <w:numId w:val="3"/>
              </w:numPr>
              <w:pBdr>
                <w:top w:val="nil"/>
                <w:left w:val="nil"/>
                <w:bottom w:val="nil"/>
                <w:right w:val="nil"/>
                <w:between w:val="nil"/>
              </w:pBdr>
              <w:jc w:val="left"/>
            </w:pPr>
            <w:r w:rsidRPr="005D550B">
              <w:rPr>
                <w:rFonts w:ascii="Cambria" w:eastAsia="Cambria" w:hAnsi="Cambria" w:cs="Cambria"/>
                <w:sz w:val="22"/>
                <w:szCs w:val="22"/>
              </w:rPr>
              <w:t>Homepage:</w:t>
            </w:r>
            <w:r w:rsidR="00910E98" w:rsidRPr="005D550B">
              <w:rPr>
                <w:rFonts w:ascii="Cambria" w:eastAsia="Cambria" w:hAnsi="Cambria" w:cs="Cambria"/>
                <w:sz w:val="22"/>
                <w:szCs w:val="22"/>
              </w:rPr>
              <w:t xml:space="preserve"> N/A</w:t>
            </w:r>
          </w:p>
          <w:p w14:paraId="219DB282" w14:textId="4FF63C40" w:rsidR="00E06797" w:rsidRDefault="00A936EE" w:rsidP="00910E98">
            <w:pPr>
              <w:pBdr>
                <w:top w:val="nil"/>
                <w:left w:val="nil"/>
                <w:bottom w:val="nil"/>
                <w:right w:val="nil"/>
                <w:between w:val="nil"/>
              </w:pBdr>
              <w:ind w:right="511"/>
              <w:jc w:val="left"/>
            </w:pPr>
            <w:r>
              <w:rPr>
                <w:rFonts w:ascii="Cambria" w:eastAsia="Cambria" w:hAnsi="Cambria" w:cs="Cambria"/>
                <w:sz w:val="22"/>
                <w:szCs w:val="22"/>
              </w:rPr>
              <w:t xml:space="preserve"> </w:t>
            </w:r>
          </w:p>
        </w:tc>
      </w:tr>
    </w:tbl>
    <w:p w14:paraId="5F653AD7" w14:textId="77777777" w:rsidR="00E06797" w:rsidRDefault="00E06797">
      <w:pPr>
        <w:ind w:right="511"/>
        <w:rPr>
          <w:rFonts w:ascii="Cambria" w:eastAsia="Cambria" w:hAnsi="Cambria" w:cs="Cambria"/>
        </w:rPr>
      </w:pPr>
    </w:p>
    <w:p w14:paraId="73C51E09" w14:textId="0D20937D" w:rsidR="00E06797" w:rsidRDefault="00E06797" w:rsidP="00645EA8">
      <w:pPr>
        <w:rPr>
          <w:rFonts w:ascii="Cambria" w:eastAsia="Cambria" w:hAnsi="Cambria" w:cs="Cambria"/>
        </w:rPr>
      </w:pPr>
    </w:p>
    <w:sectPr w:rsidR="00E06797" w:rsidSect="005D550B">
      <w:type w:val="continuous"/>
      <w:pgSz w:w="11906" w:h="16838"/>
      <w:pgMar w:top="1134" w:right="1701" w:bottom="1418" w:left="1701" w:header="73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BF7E7" w14:textId="77777777" w:rsidR="006A3FAB" w:rsidRDefault="006A3FAB">
      <w:r>
        <w:separator/>
      </w:r>
    </w:p>
  </w:endnote>
  <w:endnote w:type="continuationSeparator" w:id="0">
    <w:p w14:paraId="6AE538BC" w14:textId="77777777" w:rsidR="006A3FAB" w:rsidRDefault="006A3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1" w:fontKey="{18484750-6158-41EE-81DB-23DD6BF29FF8}"/>
    <w:embedBold r:id="rId2" w:fontKey="{95F791CD-4505-4881-8A13-4B8EC5246AAC}"/>
    <w:embedItalic r:id="rId3" w:fontKey="{B5341F3B-603C-480E-9E39-4773A5CB1112}"/>
  </w:font>
  <w:font w:name="Georgia">
    <w:panose1 w:val="02040502050405020303"/>
    <w:charset w:val="00"/>
    <w:family w:val="roman"/>
    <w:pitch w:val="variable"/>
    <w:sig w:usb0="00000287" w:usb1="00000000" w:usb2="00000000" w:usb3="00000000" w:csb0="0000009F" w:csb1="00000000"/>
    <w:embedItalic r:id="rId4" w:fontKey="{2B6CF584-C8B1-4B86-B5E3-6790C1870C1E}"/>
  </w:font>
  <w:font w:name="Segoe UI">
    <w:panose1 w:val="020B0502040204020203"/>
    <w:charset w:val="00"/>
    <w:family w:val="swiss"/>
    <w:pitch w:val="variable"/>
    <w:sig w:usb0="E4002EFF" w:usb1="C000E47F" w:usb2="00000009" w:usb3="00000000" w:csb0="000001FF" w:csb1="00000000"/>
    <w:embedRegular r:id="rId5" w:fontKey="{9B752F5B-B66F-4460-A3F9-7225C3AC6E21}"/>
  </w:font>
  <w:font w:name="Calibri">
    <w:panose1 w:val="020F0502020204030204"/>
    <w:charset w:val="00"/>
    <w:family w:val="swiss"/>
    <w:pitch w:val="variable"/>
    <w:sig w:usb0="E4002EFF" w:usb1="C000247B" w:usb2="00000009" w:usb3="00000000" w:csb0="000001FF" w:csb1="00000000"/>
    <w:embedRegular r:id="rId6" w:fontKey="{6DC38CC4-4063-4309-8344-5A2BC38E91E5}"/>
    <w:embedBold r:id="rId7" w:fontKey="{AD552BAA-B0BA-41E8-B554-7C07317AA4AB}"/>
  </w:font>
  <w:font w:name="Cambria">
    <w:panose1 w:val="02040503050406030204"/>
    <w:charset w:val="00"/>
    <w:family w:val="roman"/>
    <w:pitch w:val="variable"/>
    <w:sig w:usb0="E00006FF" w:usb1="420024FF" w:usb2="02000000" w:usb3="00000000" w:csb0="0000019F" w:csb1="00000000"/>
    <w:embedRegular r:id="rId8" w:fontKey="{52FDD639-C319-4B60-BF7E-BE222DBA633E}"/>
    <w:embedBold r:id="rId9" w:fontKey="{9FFB1108-68E2-4648-8FF8-91F710DA71D4}"/>
    <w:embedItalic r:id="rId10" w:fontKey="{E52BDBE2-50A9-4C23-8CAB-1B8B1C6B4707}"/>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06A19" w14:textId="77777777" w:rsidR="001A6427" w:rsidRDefault="001A6427">
    <w:pPr>
      <w:pBdr>
        <w:top w:val="single" w:sz="4" w:space="0" w:color="000000"/>
      </w:pBdr>
      <w:tabs>
        <w:tab w:val="right" w:pos="8844"/>
      </w:tabs>
      <w:spacing w:before="480" w:line="100" w:lineRule="auto"/>
      <w:jc w:val="left"/>
      <w:rPr>
        <w:i/>
        <w:iCs/>
        <w:sz w:val="16"/>
        <w:szCs w:val="16"/>
      </w:rPr>
    </w:pPr>
  </w:p>
  <w:p w14:paraId="3D23244A" w14:textId="542EFD11" w:rsidR="001A6427" w:rsidRPr="00D6424B" w:rsidRDefault="00D6424B" w:rsidP="00D6424B">
    <w:pPr>
      <w:pBdr>
        <w:top w:val="nil"/>
        <w:left w:val="nil"/>
        <w:bottom w:val="nil"/>
        <w:right w:val="nil"/>
        <w:between w:val="nil"/>
      </w:pBdr>
      <w:tabs>
        <w:tab w:val="center" w:pos="4153"/>
        <w:tab w:val="right" w:pos="8460"/>
      </w:tabs>
      <w:jc w:val="left"/>
      <w:rPr>
        <w:color w:val="000000" w:themeColor="text1"/>
      </w:rPr>
    </w:pPr>
    <w:proofErr w:type="spellStart"/>
    <w:r w:rsidRPr="00D6424B">
      <w:rPr>
        <w:rFonts w:ascii="Cambria" w:eastAsia="Cambria" w:hAnsi="Cambria" w:cs="Cambria"/>
        <w:i/>
        <w:iCs/>
        <w:color w:val="000000" w:themeColor="text1"/>
        <w:sz w:val="16"/>
        <w:szCs w:val="16"/>
      </w:rPr>
      <w:t>Bioculture</w:t>
    </w:r>
    <w:proofErr w:type="spellEnd"/>
    <w:r w:rsidR="001A6427" w:rsidRPr="00D6424B">
      <w:rPr>
        <w:rFonts w:ascii="Cambria" w:eastAsia="Cambria" w:hAnsi="Cambria" w:cs="Cambria"/>
        <w:i/>
        <w:iCs/>
        <w:color w:val="000000" w:themeColor="text1"/>
        <w:sz w:val="16"/>
        <w:szCs w:val="16"/>
      </w:rPr>
      <w:t xml:space="preserve">. </w:t>
    </w:r>
    <w:r w:rsidR="001A6427" w:rsidRPr="00D6424B">
      <w:rPr>
        <w:rFonts w:ascii="Cambria" w:eastAsia="Cambria" w:hAnsi="Cambria" w:cs="Cambria"/>
        <w:b/>
        <w:bCs/>
        <w:color w:val="000000" w:themeColor="text1"/>
        <w:sz w:val="16"/>
        <w:szCs w:val="16"/>
      </w:rPr>
      <w:t>202</w:t>
    </w:r>
    <w:r w:rsidRPr="00D6424B">
      <w:rPr>
        <w:rFonts w:ascii="Cambria" w:eastAsia="Cambria" w:hAnsi="Cambria" w:cs="Cambria"/>
        <w:b/>
        <w:bCs/>
        <w:color w:val="000000" w:themeColor="text1"/>
        <w:sz w:val="16"/>
        <w:szCs w:val="16"/>
      </w:rPr>
      <w:t>6</w:t>
    </w:r>
    <w:r w:rsidR="001A6427" w:rsidRPr="00D6424B">
      <w:rPr>
        <w:rFonts w:ascii="Cambria" w:eastAsia="Cambria" w:hAnsi="Cambria" w:cs="Cambria"/>
        <w:color w:val="000000" w:themeColor="text1"/>
        <w:sz w:val="16"/>
        <w:szCs w:val="16"/>
      </w:rPr>
      <w:t>,</w:t>
    </w:r>
    <w:r w:rsidR="001A6427" w:rsidRPr="00D6424B">
      <w:rPr>
        <w:rFonts w:ascii="Cambria" w:eastAsia="Cambria" w:hAnsi="Cambria" w:cs="Cambria"/>
        <w:i/>
        <w:iCs/>
        <w:color w:val="000000" w:themeColor="text1"/>
        <w:sz w:val="16"/>
        <w:szCs w:val="16"/>
      </w:rPr>
      <w:t xml:space="preserve"> VOLUME </w:t>
    </w:r>
    <w:r w:rsidRPr="00D6424B">
      <w:rPr>
        <w:rFonts w:ascii="Cambria" w:eastAsia="Cambria" w:hAnsi="Cambria" w:cs="Cambria"/>
        <w:i/>
        <w:iCs/>
        <w:color w:val="000000" w:themeColor="text1"/>
        <w:sz w:val="16"/>
        <w:szCs w:val="16"/>
      </w:rPr>
      <w:t>4</w:t>
    </w:r>
    <w:r w:rsidR="001A6427" w:rsidRPr="00D6424B">
      <w:rPr>
        <w:rFonts w:ascii="Cambria" w:eastAsia="Cambria" w:hAnsi="Cambria" w:cs="Cambria"/>
        <w:i/>
        <w:iCs/>
        <w:color w:val="000000" w:themeColor="text1"/>
        <w:sz w:val="16"/>
        <w:szCs w:val="16"/>
      </w:rPr>
      <w:t>, ISSUE 1</w:t>
    </w:r>
    <w:r w:rsidR="001A6427" w:rsidRPr="00D6424B">
      <w:rPr>
        <w:rFonts w:ascii="Cambria" w:eastAsia="Cambria" w:hAnsi="Cambria" w:cs="Cambria"/>
        <w:color w:val="000000" w:themeColor="text1"/>
        <w:sz w:val="16"/>
        <w:szCs w:val="16"/>
      </w:rPr>
      <w:t xml:space="preserve">                                                                  </w:t>
    </w:r>
    <w:hyperlink r:id="rId1" w:history="1">
      <w:r w:rsidRPr="00D6424B">
        <w:rPr>
          <w:rStyle w:val="Hyperlink"/>
          <w:rFonts w:ascii="Cambria" w:eastAsia="Cambria" w:hAnsi="Cambria" w:cs="Cambria"/>
          <w:color w:val="000000" w:themeColor="text1"/>
          <w:sz w:val="16"/>
          <w:szCs w:val="16"/>
          <w:u w:val="none"/>
        </w:rPr>
        <w:t>https://doi.org/10.61511/bioculture.v4i1.2026.3861</w:t>
      </w:r>
    </w:hyperlink>
    <w:r w:rsidRPr="00D6424B">
      <w:rPr>
        <w:rFonts w:ascii="Cambria" w:eastAsia="Cambria" w:hAnsi="Cambria" w:cs="Cambria"/>
        <w:color w:val="000000" w:themeColor="text1"/>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9CF67" w14:textId="77777777" w:rsidR="001A6427" w:rsidRPr="005D550B" w:rsidRDefault="001A6427">
    <w:pPr>
      <w:spacing w:before="120"/>
      <w:ind w:right="-62"/>
      <w:rPr>
        <w:rFonts w:ascii="Cambria" w:eastAsia="Cambria" w:hAnsi="Cambria" w:cs="Cambria"/>
        <w:b/>
        <w:bCs/>
        <w:color w:val="000000" w:themeColor="text1"/>
        <w:sz w:val="16"/>
        <w:szCs w:val="16"/>
      </w:rPr>
    </w:pPr>
    <w:r w:rsidRPr="005D550B">
      <w:rPr>
        <w:rFonts w:ascii="Cambria" w:eastAsia="Cambria" w:hAnsi="Cambria" w:cs="Cambria"/>
        <w:b/>
        <w:bCs/>
        <w:color w:val="000000" w:themeColor="text1"/>
        <w:sz w:val="16"/>
        <w:szCs w:val="16"/>
      </w:rPr>
      <w:t>Cite This Article:</w:t>
    </w:r>
  </w:p>
  <w:p w14:paraId="06427BB3" w14:textId="2DCFA426" w:rsidR="002667C1" w:rsidRPr="005D550B" w:rsidRDefault="002667C1">
    <w:pPr>
      <w:ind w:right="-62"/>
      <w:rPr>
        <w:rFonts w:ascii="Cambria" w:eastAsia="Cambria" w:hAnsi="Cambria" w:cs="Cambria"/>
        <w:color w:val="000000" w:themeColor="text1"/>
        <w:sz w:val="16"/>
        <w:szCs w:val="16"/>
        <w:lang w:val="en-ID"/>
      </w:rPr>
    </w:pPr>
    <w:proofErr w:type="spellStart"/>
    <w:r w:rsidRPr="005D550B">
      <w:rPr>
        <w:rFonts w:ascii="Cambria" w:eastAsia="Cambria" w:hAnsi="Cambria" w:cs="Cambria"/>
        <w:color w:val="000000" w:themeColor="text1"/>
        <w:sz w:val="16"/>
        <w:szCs w:val="16"/>
        <w:lang w:val="en-ID"/>
      </w:rPr>
      <w:t>Sitorus</w:t>
    </w:r>
    <w:proofErr w:type="spellEnd"/>
    <w:r w:rsidRPr="005D550B">
      <w:rPr>
        <w:rFonts w:ascii="Cambria" w:eastAsia="Cambria" w:hAnsi="Cambria" w:cs="Cambria"/>
        <w:color w:val="000000" w:themeColor="text1"/>
        <w:sz w:val="16"/>
        <w:szCs w:val="16"/>
        <w:lang w:val="en-ID"/>
      </w:rPr>
      <w:t>, A. B. Y. (2026). Socio-environmental challenges in the development of geothermal power plants in Geothermal Island. </w:t>
    </w:r>
    <w:proofErr w:type="spellStart"/>
    <w:r w:rsidRPr="005D550B">
      <w:rPr>
        <w:rFonts w:ascii="Cambria" w:eastAsia="Cambria" w:hAnsi="Cambria" w:cs="Cambria"/>
        <w:i/>
        <w:iCs/>
        <w:color w:val="000000" w:themeColor="text1"/>
        <w:sz w:val="16"/>
        <w:szCs w:val="16"/>
        <w:lang w:val="en-ID"/>
      </w:rPr>
      <w:t>Bioculture</w:t>
    </w:r>
    <w:proofErr w:type="spellEnd"/>
    <w:r w:rsidRPr="005D550B">
      <w:rPr>
        <w:rFonts w:ascii="Cambria" w:eastAsia="Cambria" w:hAnsi="Cambria" w:cs="Cambria"/>
        <w:i/>
        <w:iCs/>
        <w:color w:val="000000" w:themeColor="text1"/>
        <w:sz w:val="16"/>
        <w:szCs w:val="16"/>
        <w:lang w:val="en-ID"/>
      </w:rPr>
      <w:t xml:space="preserve"> Journal</w:t>
    </w:r>
    <w:r w:rsidRPr="005D550B">
      <w:rPr>
        <w:rFonts w:ascii="Cambria" w:eastAsia="Cambria" w:hAnsi="Cambria" w:cs="Cambria"/>
        <w:color w:val="000000" w:themeColor="text1"/>
        <w:sz w:val="16"/>
        <w:szCs w:val="16"/>
        <w:lang w:val="en-ID"/>
      </w:rPr>
      <w:t>, </w:t>
    </w:r>
    <w:r w:rsidRPr="005D550B">
      <w:rPr>
        <w:rFonts w:ascii="Cambria" w:eastAsia="Cambria" w:hAnsi="Cambria" w:cs="Cambria"/>
        <w:i/>
        <w:iCs/>
        <w:color w:val="000000" w:themeColor="text1"/>
        <w:sz w:val="16"/>
        <w:szCs w:val="16"/>
        <w:lang w:val="en-ID"/>
      </w:rPr>
      <w:t>4</w:t>
    </w:r>
    <w:r w:rsidRPr="005D550B">
      <w:rPr>
        <w:rFonts w:ascii="Cambria" w:eastAsia="Cambria" w:hAnsi="Cambria" w:cs="Cambria"/>
        <w:color w:val="000000" w:themeColor="text1"/>
        <w:sz w:val="16"/>
        <w:szCs w:val="16"/>
        <w:lang w:val="en-ID"/>
      </w:rPr>
      <w:t>(1)</w:t>
    </w:r>
    <w:r w:rsidR="005D550B">
      <w:rPr>
        <w:rFonts w:ascii="Cambria" w:eastAsia="Cambria" w:hAnsi="Cambria" w:cs="Cambria"/>
        <w:color w:val="000000" w:themeColor="text1"/>
        <w:sz w:val="16"/>
        <w:szCs w:val="16"/>
        <w:lang w:val="en-ID"/>
      </w:rPr>
      <w:t xml:space="preserve">, </w:t>
    </w:r>
    <w:r w:rsidR="002074E1">
      <w:rPr>
        <w:rFonts w:ascii="Cambria" w:eastAsia="Cambria" w:hAnsi="Cambria" w:cs="Cambria"/>
        <w:color w:val="000000" w:themeColor="text1"/>
        <w:sz w:val="16"/>
        <w:szCs w:val="16"/>
        <w:lang w:val="en-ID"/>
      </w:rPr>
      <w:t>74</w:t>
    </w:r>
    <w:r w:rsidR="005D550B">
      <w:rPr>
        <w:rFonts w:ascii="Cambria" w:eastAsia="Cambria" w:hAnsi="Cambria" w:cs="Cambria"/>
        <w:color w:val="000000" w:themeColor="text1"/>
        <w:sz w:val="16"/>
        <w:szCs w:val="16"/>
        <w:lang w:val="en-ID"/>
      </w:rPr>
      <w:t>-</w:t>
    </w:r>
    <w:r w:rsidR="002074E1">
      <w:rPr>
        <w:rFonts w:ascii="Cambria" w:eastAsia="Cambria" w:hAnsi="Cambria" w:cs="Cambria"/>
        <w:color w:val="000000" w:themeColor="text1"/>
        <w:sz w:val="16"/>
        <w:szCs w:val="16"/>
        <w:lang w:val="en-ID"/>
      </w:rPr>
      <w:t>92</w:t>
    </w:r>
    <w:r w:rsidRPr="005D550B">
      <w:rPr>
        <w:rFonts w:ascii="Cambria" w:eastAsia="Cambria" w:hAnsi="Cambria" w:cs="Cambria"/>
        <w:color w:val="000000" w:themeColor="text1"/>
        <w:sz w:val="16"/>
        <w:szCs w:val="16"/>
        <w:lang w:val="en-ID"/>
      </w:rPr>
      <w:t xml:space="preserve">. </w:t>
    </w:r>
    <w:hyperlink r:id="rId1" w:history="1">
      <w:r w:rsidR="005D550B" w:rsidRPr="005D550B">
        <w:rPr>
          <w:rStyle w:val="Hyperlink"/>
          <w:rFonts w:ascii="Cambria" w:eastAsia="Cambria" w:hAnsi="Cambria" w:cs="Cambria"/>
          <w:color w:val="000000" w:themeColor="text1"/>
          <w:sz w:val="16"/>
          <w:szCs w:val="16"/>
          <w:u w:val="none"/>
          <w:lang w:val="en-ID"/>
        </w:rPr>
        <w:t>https://doi.org/10.61511/bioculture.v4i1.2026.3861</w:t>
      </w:r>
    </w:hyperlink>
    <w:r w:rsidR="005D550B" w:rsidRPr="005D550B">
      <w:rPr>
        <w:rFonts w:ascii="Cambria" w:eastAsia="Cambria" w:hAnsi="Cambria" w:cs="Cambria"/>
        <w:color w:val="000000" w:themeColor="text1"/>
        <w:sz w:val="16"/>
        <w:szCs w:val="16"/>
        <w:lang w:val="en-ID"/>
      </w:rPr>
      <w:t xml:space="preserve"> </w:t>
    </w:r>
  </w:p>
  <w:p w14:paraId="78A81699" w14:textId="0738C433" w:rsidR="001A6427" w:rsidRPr="005D550B" w:rsidRDefault="001A6427">
    <w:pPr>
      <w:spacing w:before="120"/>
      <w:ind w:right="1133"/>
      <w:rPr>
        <w:rFonts w:ascii="Cambria" w:eastAsia="Cambria" w:hAnsi="Cambria" w:cs="Cambria"/>
        <w:color w:val="000000" w:themeColor="text1"/>
        <w:sz w:val="16"/>
        <w:szCs w:val="16"/>
      </w:rPr>
    </w:pPr>
    <w:r w:rsidRPr="005D550B">
      <w:rPr>
        <w:rFonts w:ascii="Cambria" w:eastAsia="Cambria" w:hAnsi="Cambria" w:cs="Cambria"/>
        <w:b/>
        <w:bCs/>
        <w:color w:val="000000" w:themeColor="text1"/>
        <w:sz w:val="16"/>
        <w:szCs w:val="16"/>
      </w:rPr>
      <w:t xml:space="preserve">Copyright: </w:t>
    </w:r>
    <w:r w:rsidRPr="005D550B">
      <w:rPr>
        <w:rFonts w:ascii="Cambria" w:eastAsia="Cambria" w:hAnsi="Cambria" w:cs="Cambria"/>
        <w:color w:val="000000" w:themeColor="text1"/>
        <w:sz w:val="16"/>
        <w:szCs w:val="16"/>
      </w:rPr>
      <w:t>© 202</w:t>
    </w:r>
    <w:r w:rsidR="00344E54">
      <w:rPr>
        <w:rFonts w:ascii="Cambria" w:eastAsia="Cambria" w:hAnsi="Cambria" w:cs="Cambria"/>
        <w:color w:val="000000" w:themeColor="text1"/>
        <w:sz w:val="16"/>
        <w:szCs w:val="16"/>
      </w:rPr>
      <w:t>6</w:t>
    </w:r>
    <w:r w:rsidRPr="005D550B">
      <w:rPr>
        <w:rFonts w:ascii="Cambria" w:eastAsia="Cambria" w:hAnsi="Cambria" w:cs="Cambria"/>
        <w:color w:val="000000" w:themeColor="text1"/>
        <w:sz w:val="16"/>
        <w:szCs w:val="16"/>
      </w:rPr>
      <w:t xml:space="preserve"> by the authors. </w:t>
    </w:r>
    <w:r w:rsidR="005D550B" w:rsidRPr="005D550B">
      <w:rPr>
        <w:rFonts w:ascii="Cambria" w:eastAsia="Cambria" w:hAnsi="Cambria" w:cs="Cambria"/>
        <w:color w:val="000000" w:themeColor="text1"/>
        <w:sz w:val="16"/>
        <w:szCs w:val="16"/>
      </w:rPr>
      <w:t>This article</w:t>
    </w:r>
    <w:r w:rsidRPr="005D550B">
      <w:rPr>
        <w:rFonts w:ascii="Cambria" w:eastAsia="Cambria" w:hAnsi="Cambria" w:cs="Cambria"/>
        <w:color w:val="000000" w:themeColor="text1"/>
        <w:sz w:val="16"/>
        <w:szCs w:val="16"/>
      </w:rPr>
      <w:t xml:space="preserve"> is distributed </w:t>
    </w:r>
    <w:r w:rsidR="005D550B" w:rsidRPr="005D550B">
      <w:rPr>
        <w:rFonts w:ascii="Cambria" w:eastAsia="Cambria" w:hAnsi="Cambria" w:cs="Cambria"/>
        <w:color w:val="000000" w:themeColor="text1"/>
        <w:sz w:val="16"/>
        <w:szCs w:val="16"/>
      </w:rPr>
      <w:t>under the terms</w:t>
    </w:r>
    <w:r w:rsidRPr="005D550B">
      <w:rPr>
        <w:rFonts w:ascii="Cambria" w:eastAsia="Cambria" w:hAnsi="Cambria" w:cs="Cambria"/>
        <w:color w:val="000000" w:themeColor="text1"/>
        <w:sz w:val="16"/>
        <w:szCs w:val="16"/>
      </w:rPr>
      <w:t xml:space="preserve"> and conditions of the Creative Commons Attribution (CC BY) license (</w:t>
    </w:r>
    <w:hyperlink r:id="rId2">
      <w:r w:rsidRPr="005D550B">
        <w:rPr>
          <w:rFonts w:ascii="Cambria" w:eastAsia="Cambria" w:hAnsi="Cambria" w:cs="Cambria"/>
          <w:color w:val="000000" w:themeColor="text1"/>
          <w:sz w:val="16"/>
          <w:szCs w:val="16"/>
        </w:rPr>
        <w:t>https://creativecommons.org/licenses/by/4.0/</w:t>
      </w:r>
    </w:hyperlink>
    <w:r w:rsidRPr="005D550B">
      <w:rPr>
        <w:rFonts w:ascii="Cambria" w:eastAsia="Cambria" w:hAnsi="Cambria" w:cs="Cambria"/>
        <w:color w:val="000000" w:themeColor="text1"/>
        <w:sz w:val="16"/>
        <w:szCs w:val="16"/>
      </w:rPr>
      <w:t>).</w:t>
    </w:r>
    <w:r w:rsidRPr="005D550B">
      <w:rPr>
        <w:noProof/>
        <w:color w:val="000000" w:themeColor="text1"/>
      </w:rPr>
      <w:drawing>
        <wp:anchor distT="0" distB="0" distL="0" distR="0" simplePos="0" relativeHeight="251659264" behindDoc="1" locked="0" layoutInCell="1" hidden="0" allowOverlap="1" wp14:anchorId="44A57197" wp14:editId="1A038C0B">
          <wp:simplePos x="0" y="0"/>
          <wp:positionH relativeFrom="column">
            <wp:posOffset>4714875</wp:posOffset>
          </wp:positionH>
          <wp:positionV relativeFrom="paragraph">
            <wp:posOffset>80813</wp:posOffset>
          </wp:positionV>
          <wp:extent cx="754380" cy="30797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r="49886" b="78029"/>
                  <a:stretch>
                    <a:fillRect/>
                  </a:stretch>
                </pic:blipFill>
                <pic:spPr>
                  <a:xfrm>
                    <a:off x="0" y="0"/>
                    <a:ext cx="754380" cy="307975"/>
                  </a:xfrm>
                  <a:prstGeom prst="rect">
                    <a:avLst/>
                  </a:prstGeom>
                  <a:ln/>
                </pic:spPr>
              </pic:pic>
            </a:graphicData>
          </a:graphic>
        </wp:anchor>
      </w:drawing>
    </w:r>
  </w:p>
  <w:p w14:paraId="6377D468" w14:textId="77777777" w:rsidR="001A6427" w:rsidRPr="005D550B" w:rsidRDefault="001A6427">
    <w:pPr>
      <w:pBdr>
        <w:top w:val="single" w:sz="4" w:space="0" w:color="000000"/>
      </w:pBdr>
      <w:tabs>
        <w:tab w:val="right" w:pos="8844"/>
      </w:tabs>
      <w:spacing w:before="480" w:line="100" w:lineRule="auto"/>
      <w:jc w:val="left"/>
      <w:rPr>
        <w:i/>
        <w:iCs/>
        <w:color w:val="000000" w:themeColor="text1"/>
        <w:sz w:val="16"/>
        <w:szCs w:val="16"/>
      </w:rPr>
    </w:pPr>
  </w:p>
  <w:p w14:paraId="071C781F" w14:textId="15166CFA" w:rsidR="001A6427" w:rsidRPr="005D550B" w:rsidRDefault="005D550B" w:rsidP="005D550B">
    <w:pPr>
      <w:pBdr>
        <w:top w:val="nil"/>
        <w:left w:val="nil"/>
        <w:bottom w:val="nil"/>
        <w:right w:val="nil"/>
        <w:between w:val="nil"/>
      </w:pBdr>
      <w:tabs>
        <w:tab w:val="center" w:pos="4153"/>
        <w:tab w:val="right" w:pos="8460"/>
      </w:tabs>
      <w:jc w:val="left"/>
      <w:rPr>
        <w:color w:val="000000" w:themeColor="text1"/>
      </w:rPr>
    </w:pPr>
    <w:proofErr w:type="spellStart"/>
    <w:r w:rsidRPr="005D550B">
      <w:rPr>
        <w:rFonts w:ascii="Cambria" w:eastAsia="Cambria" w:hAnsi="Cambria" w:cs="Cambria"/>
        <w:i/>
        <w:iCs/>
        <w:color w:val="000000" w:themeColor="text1"/>
        <w:sz w:val="16"/>
        <w:szCs w:val="16"/>
      </w:rPr>
      <w:t>Bioculture</w:t>
    </w:r>
    <w:proofErr w:type="spellEnd"/>
    <w:r w:rsidRPr="005D550B">
      <w:rPr>
        <w:rFonts w:ascii="Cambria" w:eastAsia="Cambria" w:hAnsi="Cambria" w:cs="Cambria"/>
        <w:i/>
        <w:iCs/>
        <w:color w:val="000000" w:themeColor="text1"/>
        <w:sz w:val="16"/>
        <w:szCs w:val="16"/>
      </w:rPr>
      <w:t xml:space="preserve">. </w:t>
    </w:r>
    <w:r w:rsidRPr="005D550B">
      <w:rPr>
        <w:rFonts w:ascii="Cambria" w:eastAsia="Cambria" w:hAnsi="Cambria" w:cs="Cambria"/>
        <w:b/>
        <w:bCs/>
        <w:color w:val="000000" w:themeColor="text1"/>
        <w:sz w:val="16"/>
        <w:szCs w:val="16"/>
      </w:rPr>
      <w:t>2026</w:t>
    </w:r>
    <w:r w:rsidRPr="005D550B">
      <w:rPr>
        <w:rFonts w:ascii="Cambria" w:eastAsia="Cambria" w:hAnsi="Cambria" w:cs="Cambria"/>
        <w:color w:val="000000" w:themeColor="text1"/>
        <w:sz w:val="16"/>
        <w:szCs w:val="16"/>
      </w:rPr>
      <w:t>,</w:t>
    </w:r>
    <w:r w:rsidRPr="005D550B">
      <w:rPr>
        <w:rFonts w:ascii="Cambria" w:eastAsia="Cambria" w:hAnsi="Cambria" w:cs="Cambria"/>
        <w:i/>
        <w:iCs/>
        <w:color w:val="000000" w:themeColor="text1"/>
        <w:sz w:val="16"/>
        <w:szCs w:val="16"/>
      </w:rPr>
      <w:t xml:space="preserve"> VOLUME 4, ISSUE 1</w:t>
    </w:r>
    <w:r w:rsidRPr="005D550B">
      <w:rPr>
        <w:rFonts w:ascii="Cambria" w:eastAsia="Cambria" w:hAnsi="Cambria" w:cs="Cambria"/>
        <w:color w:val="000000" w:themeColor="text1"/>
        <w:sz w:val="16"/>
        <w:szCs w:val="16"/>
      </w:rPr>
      <w:t xml:space="preserve">                                                                  </w:t>
    </w:r>
    <w:hyperlink r:id="rId4" w:history="1">
      <w:r w:rsidRPr="005D550B">
        <w:rPr>
          <w:rStyle w:val="Hyperlink"/>
          <w:rFonts w:ascii="Cambria" w:eastAsia="Cambria" w:hAnsi="Cambria" w:cs="Cambria"/>
          <w:color w:val="000000" w:themeColor="text1"/>
          <w:sz w:val="16"/>
          <w:szCs w:val="16"/>
          <w:u w:val="none"/>
        </w:rPr>
        <w:t>https://doi.org/10.61511/bioculture.v4i1.2026.3861</w:t>
      </w:r>
    </w:hyperlink>
    <w:r w:rsidRPr="005D550B">
      <w:rPr>
        <w:rFonts w:ascii="Cambria" w:eastAsia="Cambria" w:hAnsi="Cambria" w:cs="Cambria"/>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BB6C8" w14:textId="77777777" w:rsidR="006A3FAB" w:rsidRDefault="006A3FAB">
      <w:r>
        <w:separator/>
      </w:r>
    </w:p>
  </w:footnote>
  <w:footnote w:type="continuationSeparator" w:id="0">
    <w:p w14:paraId="03E3E8A6" w14:textId="77777777" w:rsidR="006A3FAB" w:rsidRDefault="006A3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F625C" w14:textId="77777777" w:rsidR="001A6427" w:rsidRDefault="001A6427">
    <w:pPr>
      <w:pBdr>
        <w:top w:val="nil"/>
        <w:left w:val="nil"/>
        <w:bottom w:val="none" w:sz="0" w:space="0" w:color="000000"/>
        <w:right w:val="nil"/>
        <w:between w:val="nil"/>
      </w:pBdr>
      <w:tabs>
        <w:tab w:val="center" w:pos="4153"/>
        <w:tab w:val="right" w:pos="8306"/>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71F0C" w14:textId="497B1AB9" w:rsidR="001A6427" w:rsidRDefault="00D6424B" w:rsidP="005D550B">
    <w:pPr>
      <w:pBdr>
        <w:top w:val="nil"/>
        <w:left w:val="nil"/>
        <w:bottom w:val="single" w:sz="6" w:space="1" w:color="000000"/>
        <w:right w:val="nil"/>
        <w:between w:val="nil"/>
      </w:pBdr>
      <w:tabs>
        <w:tab w:val="center" w:pos="4153"/>
        <w:tab w:val="right" w:pos="8460"/>
        <w:tab w:val="right" w:pos="8505"/>
      </w:tabs>
      <w:rPr>
        <w:color w:val="000000"/>
      </w:rPr>
    </w:pPr>
    <w:proofErr w:type="spellStart"/>
    <w:r>
      <w:rPr>
        <w:rFonts w:ascii="Cambria" w:eastAsia="Cambria" w:hAnsi="Cambria" w:cs="Cambria"/>
        <w:i/>
        <w:iCs/>
        <w:color w:val="000000"/>
        <w:sz w:val="16"/>
        <w:szCs w:val="16"/>
      </w:rPr>
      <w:t>Sitorus</w:t>
    </w:r>
    <w:proofErr w:type="spellEnd"/>
    <w:r w:rsidR="001A6427">
      <w:rPr>
        <w:rFonts w:ascii="Cambria" w:eastAsia="Cambria" w:hAnsi="Cambria" w:cs="Cambria"/>
        <w:i/>
        <w:iCs/>
        <w:color w:val="000000"/>
        <w:sz w:val="16"/>
        <w:szCs w:val="16"/>
      </w:rPr>
      <w:t xml:space="preserve"> (202</w:t>
    </w:r>
    <w:r>
      <w:rPr>
        <w:rFonts w:ascii="Cambria" w:eastAsia="Cambria" w:hAnsi="Cambria" w:cs="Cambria"/>
        <w:i/>
        <w:iCs/>
        <w:color w:val="000000"/>
        <w:sz w:val="16"/>
        <w:szCs w:val="16"/>
      </w:rPr>
      <w:t>6</w:t>
    </w:r>
    <w:r w:rsidR="001A6427">
      <w:rPr>
        <w:rFonts w:ascii="Cambria" w:eastAsia="Cambria" w:hAnsi="Cambria" w:cs="Cambria"/>
        <w:i/>
        <w:iCs/>
        <w:color w:val="000000"/>
        <w:sz w:val="16"/>
        <w:szCs w:val="16"/>
      </w:rPr>
      <w:t>)</w:t>
    </w:r>
    <w:r w:rsidR="001A6427">
      <w:rPr>
        <w:rFonts w:ascii="Cambria" w:eastAsia="Cambria" w:hAnsi="Cambria" w:cs="Cambria"/>
        <w:i/>
        <w:iCs/>
        <w:color w:val="000000"/>
        <w:sz w:val="16"/>
        <w:szCs w:val="16"/>
      </w:rPr>
      <w:tab/>
    </w:r>
    <w:r w:rsidR="001A6427">
      <w:rPr>
        <w:rFonts w:ascii="Cambria" w:eastAsia="Cambria" w:hAnsi="Cambria" w:cs="Cambria"/>
        <w:i/>
        <w:iCs/>
        <w:color w:val="000000"/>
        <w:sz w:val="16"/>
        <w:szCs w:val="16"/>
      </w:rPr>
      <w:tab/>
    </w:r>
    <w:r w:rsidR="001A6427">
      <w:rPr>
        <w:color w:val="000000"/>
        <w:sz w:val="18"/>
        <w:szCs w:val="18"/>
      </w:rPr>
      <w:t xml:space="preserve">  </w:t>
    </w:r>
    <w:r w:rsidR="001A6427">
      <w:rPr>
        <w:rFonts w:ascii="Cambria" w:eastAsia="Cambria" w:hAnsi="Cambria" w:cs="Cambria"/>
        <w:color w:val="000000"/>
        <w:sz w:val="16"/>
        <w:szCs w:val="16"/>
      </w:rPr>
      <w:fldChar w:fldCharType="begin"/>
    </w:r>
    <w:r w:rsidR="001A6427">
      <w:rPr>
        <w:rFonts w:ascii="Cambria" w:eastAsia="Cambria" w:hAnsi="Cambria" w:cs="Cambria"/>
        <w:color w:val="000000"/>
        <w:sz w:val="16"/>
        <w:szCs w:val="16"/>
      </w:rPr>
      <w:instrText>PAGE</w:instrText>
    </w:r>
    <w:r w:rsidR="001A6427">
      <w:rPr>
        <w:rFonts w:ascii="Cambria" w:eastAsia="Cambria" w:hAnsi="Cambria" w:cs="Cambria"/>
        <w:color w:val="000000"/>
        <w:sz w:val="16"/>
        <w:szCs w:val="16"/>
      </w:rPr>
      <w:fldChar w:fldCharType="separate"/>
    </w:r>
    <w:r w:rsidR="001A6427">
      <w:rPr>
        <w:rFonts w:ascii="Cambria" w:eastAsia="Cambria" w:hAnsi="Cambria" w:cs="Cambria"/>
        <w:noProof/>
        <w:color w:val="000000"/>
        <w:sz w:val="16"/>
        <w:szCs w:val="16"/>
      </w:rPr>
      <w:t>2</w:t>
    </w:r>
    <w:r w:rsidR="001A6427">
      <w:rPr>
        <w:rFonts w:ascii="Cambria" w:eastAsia="Cambria" w:hAnsi="Cambria" w:cs="Cambria"/>
        <w:color w:val="000000"/>
        <w:sz w:val="16"/>
        <w:szCs w:val="16"/>
      </w:rPr>
      <w:fldChar w:fldCharType="end"/>
    </w:r>
  </w:p>
  <w:p w14:paraId="7F9EE453" w14:textId="77777777" w:rsidR="001A6427" w:rsidRDefault="001A6427">
    <w:pPr>
      <w:tabs>
        <w:tab w:val="right" w:pos="10466"/>
      </w:tabs>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AA081" w14:textId="77777777" w:rsidR="001A6427" w:rsidRDefault="001A6427">
    <w:pPr>
      <w:widowControl w:val="0"/>
      <w:pBdr>
        <w:top w:val="nil"/>
        <w:left w:val="nil"/>
        <w:bottom w:val="nil"/>
        <w:right w:val="nil"/>
        <w:between w:val="nil"/>
      </w:pBdr>
      <w:spacing w:line="276" w:lineRule="auto"/>
      <w:jc w:val="left"/>
    </w:pPr>
  </w:p>
  <w:tbl>
    <w:tblPr>
      <w:tblW w:w="850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505"/>
    </w:tblGrid>
    <w:tr w:rsidR="005D550B" w14:paraId="3C8651C3" w14:textId="77777777" w:rsidTr="004D22E2">
      <w:trPr>
        <w:trHeight w:val="1156"/>
        <w:jc w:val="center"/>
      </w:trPr>
      <w:tc>
        <w:tcPr>
          <w:tcW w:w="8505" w:type="dxa"/>
          <w:tcBorders>
            <w:top w:val="single" w:sz="6" w:space="0" w:color="FFFFFF"/>
            <w:left w:val="single" w:sz="6" w:space="0" w:color="FFFFFF"/>
            <w:bottom w:val="single" w:sz="6" w:space="0" w:color="000000"/>
            <w:right w:val="single" w:sz="6" w:space="0" w:color="FFFFFF"/>
          </w:tcBorders>
        </w:tcPr>
        <w:p w14:paraId="78B9A2BE" w14:textId="77777777" w:rsidR="005D550B" w:rsidRPr="0096329A" w:rsidRDefault="005D550B" w:rsidP="00344E54">
          <w:pPr>
            <w:ind w:left="-118"/>
            <w:jc w:val="left"/>
            <w:rPr>
              <w:rFonts w:ascii="Cambria" w:eastAsia="Cambria" w:hAnsi="Cambria" w:cs="Cambria"/>
              <w:sz w:val="28"/>
              <w:szCs w:val="28"/>
            </w:rPr>
          </w:pPr>
          <w:r w:rsidRPr="0096329A">
            <w:rPr>
              <w:noProof/>
            </w:rPr>
            <w:drawing>
              <wp:anchor distT="0" distB="0" distL="114300" distR="114300" simplePos="0" relativeHeight="251661312" behindDoc="0" locked="0" layoutInCell="1" hidden="0" allowOverlap="1" wp14:anchorId="54448011" wp14:editId="62F1E8EF">
                <wp:simplePos x="0" y="0"/>
                <wp:positionH relativeFrom="column">
                  <wp:posOffset>3137535</wp:posOffset>
                </wp:positionH>
                <wp:positionV relativeFrom="paragraph">
                  <wp:posOffset>35462</wp:posOffset>
                </wp:positionV>
                <wp:extent cx="2188845" cy="554355"/>
                <wp:effectExtent l="0" t="0" r="1905" b="0"/>
                <wp:wrapNone/>
                <wp:docPr id="139" name="image3.png"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39" name="image3.png" descr="A close-up of a logo&#10;&#10;AI-generated content may be incorrect."/>
                        <pic:cNvPicPr preferRelativeResize="0"/>
                      </pic:nvPicPr>
                      <pic:blipFill>
                        <a:blip r:embed="rId1"/>
                        <a:srcRect l="4986" t="19787" r="9847" b="23077"/>
                        <a:stretch>
                          <a:fillRect/>
                        </a:stretch>
                      </pic:blipFill>
                      <pic:spPr>
                        <a:xfrm>
                          <a:off x="0" y="0"/>
                          <a:ext cx="2188845" cy="554355"/>
                        </a:xfrm>
                        <a:prstGeom prst="rect">
                          <a:avLst/>
                        </a:prstGeom>
                        <a:ln/>
                      </pic:spPr>
                    </pic:pic>
                  </a:graphicData>
                </a:graphic>
              </wp:anchor>
            </w:drawing>
          </w:r>
          <w:hyperlink r:id="rId2" w:history="1">
            <w:proofErr w:type="spellStart"/>
            <w:r w:rsidRPr="0096329A">
              <w:rPr>
                <w:rStyle w:val="Hyperlink"/>
                <w:rFonts w:ascii="Cambria" w:eastAsia="Cambria" w:hAnsi="Cambria" w:cs="Cambria"/>
                <w:color w:val="auto"/>
                <w:sz w:val="28"/>
                <w:szCs w:val="28"/>
                <w:u w:val="none"/>
              </w:rPr>
              <w:t>Bioculture</w:t>
            </w:r>
            <w:proofErr w:type="spellEnd"/>
          </w:hyperlink>
        </w:p>
        <w:p w14:paraId="04A543B8" w14:textId="77777777" w:rsidR="005D550B" w:rsidRPr="0096329A" w:rsidRDefault="002074E1" w:rsidP="00344E54">
          <w:pPr>
            <w:ind w:left="-118"/>
            <w:jc w:val="left"/>
            <w:rPr>
              <w:rFonts w:ascii="Cambria" w:eastAsia="Cambria" w:hAnsi="Cambria" w:cs="Cambria"/>
              <w:sz w:val="18"/>
              <w:szCs w:val="18"/>
            </w:rPr>
          </w:pPr>
          <w:hyperlink r:id="rId3" w:history="1">
            <w:proofErr w:type="spellStart"/>
            <w:r w:rsidR="005D550B" w:rsidRPr="0096329A">
              <w:rPr>
                <w:rStyle w:val="Hyperlink"/>
                <w:rFonts w:ascii="Cambria" w:eastAsia="Cambria" w:hAnsi="Cambria" w:cs="Cambria"/>
                <w:color w:val="auto"/>
                <w:sz w:val="18"/>
                <w:szCs w:val="18"/>
                <w:u w:val="none"/>
              </w:rPr>
              <w:t>Bioculture</w:t>
            </w:r>
            <w:proofErr w:type="spellEnd"/>
            <w:r w:rsidR="005D550B" w:rsidRPr="0096329A">
              <w:rPr>
                <w:rStyle w:val="Hyperlink"/>
                <w:rFonts w:ascii="Cambria" w:eastAsia="Cambria" w:hAnsi="Cambria" w:cs="Cambria"/>
                <w:color w:val="auto"/>
                <w:sz w:val="18"/>
                <w:szCs w:val="18"/>
                <w:u w:val="none"/>
              </w:rPr>
              <w:t xml:space="preserve"> Journal</w:t>
            </w:r>
          </w:hyperlink>
        </w:p>
        <w:p w14:paraId="5323A483" w14:textId="2CB05D14" w:rsidR="005D550B" w:rsidRPr="0096329A" w:rsidRDefault="005D550B" w:rsidP="00344E54">
          <w:pPr>
            <w:ind w:left="-118"/>
            <w:jc w:val="left"/>
            <w:rPr>
              <w:rFonts w:ascii="Cambria" w:eastAsia="Cambria" w:hAnsi="Cambria" w:cs="Cambria"/>
              <w:sz w:val="18"/>
              <w:szCs w:val="18"/>
            </w:rPr>
          </w:pPr>
          <w:proofErr w:type="spellStart"/>
          <w:r w:rsidRPr="0096329A">
            <w:rPr>
              <w:rFonts w:ascii="Cambria" w:eastAsia="Cambria" w:hAnsi="Cambria" w:cs="Cambria"/>
              <w:sz w:val="18"/>
              <w:szCs w:val="18"/>
            </w:rPr>
            <w:t>Bioculture</w:t>
          </w:r>
          <w:proofErr w:type="spellEnd"/>
          <w:r w:rsidRPr="0096329A">
            <w:rPr>
              <w:rFonts w:ascii="Cambria" w:eastAsia="Cambria" w:hAnsi="Cambria" w:cs="Cambria"/>
              <w:sz w:val="18"/>
              <w:szCs w:val="18"/>
            </w:rPr>
            <w:t xml:space="preserve"> </w:t>
          </w:r>
          <w:r>
            <w:rPr>
              <w:rFonts w:ascii="Cambria" w:eastAsia="Cambria" w:hAnsi="Cambria" w:cs="Cambria"/>
              <w:sz w:val="18"/>
              <w:szCs w:val="18"/>
            </w:rPr>
            <w:t>4</w:t>
          </w:r>
          <w:r w:rsidRPr="0096329A">
            <w:rPr>
              <w:rFonts w:ascii="Cambria" w:eastAsia="Cambria" w:hAnsi="Cambria" w:cs="Cambria"/>
              <w:sz w:val="18"/>
              <w:szCs w:val="18"/>
            </w:rPr>
            <w:t>(</w:t>
          </w:r>
          <w:r>
            <w:rPr>
              <w:rFonts w:ascii="Cambria" w:eastAsia="Cambria" w:hAnsi="Cambria" w:cs="Cambria"/>
              <w:sz w:val="18"/>
              <w:szCs w:val="18"/>
            </w:rPr>
            <w:t>1</w:t>
          </w:r>
          <w:r w:rsidRPr="0096329A">
            <w:rPr>
              <w:rFonts w:ascii="Cambria" w:eastAsia="Cambria" w:hAnsi="Cambria" w:cs="Cambria"/>
              <w:sz w:val="18"/>
              <w:szCs w:val="18"/>
            </w:rPr>
            <w:t xml:space="preserve">): </w:t>
          </w:r>
          <w:r w:rsidR="002074E1">
            <w:rPr>
              <w:rFonts w:ascii="Cambria" w:eastAsia="Cambria" w:hAnsi="Cambria" w:cs="Cambria"/>
              <w:sz w:val="18"/>
              <w:szCs w:val="18"/>
            </w:rPr>
            <w:t>74-92</w:t>
          </w:r>
        </w:p>
        <w:p w14:paraId="196B180C" w14:textId="77777777" w:rsidR="005D550B" w:rsidRDefault="005D550B" w:rsidP="00344E54">
          <w:pPr>
            <w:tabs>
              <w:tab w:val="left" w:pos="7088"/>
            </w:tabs>
            <w:ind w:left="-118"/>
            <w:jc w:val="left"/>
            <w:rPr>
              <w:rFonts w:ascii="Calibri" w:eastAsia="Calibri" w:hAnsi="Calibri" w:cs="Calibri"/>
              <w:color w:val="7F7F7F"/>
            </w:rPr>
          </w:pPr>
          <w:r w:rsidRPr="0096329A">
            <w:rPr>
              <w:rFonts w:ascii="Cambria" w:eastAsia="Cambria" w:hAnsi="Cambria" w:cs="Cambria"/>
              <w:sz w:val="18"/>
              <w:szCs w:val="18"/>
            </w:rPr>
            <w:t xml:space="preserve">ISSN </w:t>
          </w:r>
          <w:hyperlink r:id="rId4" w:history="1">
            <w:r w:rsidRPr="0096329A">
              <w:rPr>
                <w:rStyle w:val="Hyperlink"/>
                <w:rFonts w:ascii="Cambria" w:eastAsia="Cambria" w:hAnsi="Cambria" w:cs="Cambria"/>
                <w:color w:val="auto"/>
                <w:sz w:val="18"/>
                <w:szCs w:val="18"/>
                <w:u w:val="none"/>
              </w:rPr>
              <w:t>3025-3632</w:t>
            </w:r>
          </w:hyperlink>
        </w:p>
      </w:tc>
    </w:tr>
  </w:tbl>
  <w:p w14:paraId="553E0793" w14:textId="77777777" w:rsidR="001A6427" w:rsidRDefault="001A6427">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817E4"/>
    <w:multiLevelType w:val="multilevel"/>
    <w:tmpl w:val="945AB6A0"/>
    <w:lvl w:ilvl="0">
      <w:start w:val="1"/>
      <w:numFmt w:val="bullet"/>
      <w:lvlText w:val="▪"/>
      <w:lvlJc w:val="left"/>
      <w:pPr>
        <w:ind w:left="720" w:hanging="360"/>
      </w:pPr>
      <w:rPr>
        <w:rFonts w:ascii="Noto Sans Symbols" w:eastAsia="Noto Sans Symbols" w:hAnsi="Noto Sans Symbols" w:cs="Noto Sans Symbols"/>
        <w:color w:val="202122"/>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D0132"/>
    <w:multiLevelType w:val="multilevel"/>
    <w:tmpl w:val="166A5CD6"/>
    <w:lvl w:ilvl="0">
      <w:start w:val="1"/>
      <w:numFmt w:val="decimal"/>
      <w:lvlText w:val="%1"/>
      <w:lvlJc w:val="left"/>
      <w:pPr>
        <w:ind w:left="3328" w:hanging="360"/>
      </w:pPr>
      <w:rPr>
        <w:i w:val="0"/>
        <w:iCs w:val="0"/>
        <w:vertAlign w:val="superscript"/>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abstractNum w:abstractNumId="2" w15:restartNumberingAfterBreak="0">
    <w:nsid w:val="314A1B31"/>
    <w:multiLevelType w:val="hybridMultilevel"/>
    <w:tmpl w:val="3C34ECA6"/>
    <w:lvl w:ilvl="0" w:tplc="E8AEF6DE">
      <w:start w:val="1"/>
      <w:numFmt w:val="lowerLetter"/>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3" w15:restartNumberingAfterBreak="0">
    <w:nsid w:val="63B26EDE"/>
    <w:multiLevelType w:val="multilevel"/>
    <w:tmpl w:val="13BC69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33471EC"/>
    <w:multiLevelType w:val="multilevel"/>
    <w:tmpl w:val="5C8490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797"/>
    <w:rsid w:val="000643C5"/>
    <w:rsid w:val="00073306"/>
    <w:rsid w:val="000778A3"/>
    <w:rsid w:val="000912ED"/>
    <w:rsid w:val="000A3F10"/>
    <w:rsid w:val="000B7039"/>
    <w:rsid w:val="000F375E"/>
    <w:rsid w:val="00111E17"/>
    <w:rsid w:val="001A6427"/>
    <w:rsid w:val="001C5062"/>
    <w:rsid w:val="001D1312"/>
    <w:rsid w:val="001F661C"/>
    <w:rsid w:val="002074E1"/>
    <w:rsid w:val="00237D94"/>
    <w:rsid w:val="0025578D"/>
    <w:rsid w:val="002667C1"/>
    <w:rsid w:val="002765E7"/>
    <w:rsid w:val="00276963"/>
    <w:rsid w:val="002B4BB0"/>
    <w:rsid w:val="002C0D1B"/>
    <w:rsid w:val="002D5726"/>
    <w:rsid w:val="00304A4A"/>
    <w:rsid w:val="003077B0"/>
    <w:rsid w:val="00316A38"/>
    <w:rsid w:val="00344E54"/>
    <w:rsid w:val="00362105"/>
    <w:rsid w:val="00364846"/>
    <w:rsid w:val="003B62B7"/>
    <w:rsid w:val="003D5C30"/>
    <w:rsid w:val="004046AA"/>
    <w:rsid w:val="0043236A"/>
    <w:rsid w:val="0043630A"/>
    <w:rsid w:val="00436559"/>
    <w:rsid w:val="004501E3"/>
    <w:rsid w:val="00461386"/>
    <w:rsid w:val="004866CF"/>
    <w:rsid w:val="004A6239"/>
    <w:rsid w:val="004E4B5E"/>
    <w:rsid w:val="004E7B71"/>
    <w:rsid w:val="005C6302"/>
    <w:rsid w:val="005D550B"/>
    <w:rsid w:val="005D7598"/>
    <w:rsid w:val="00645EA8"/>
    <w:rsid w:val="006551F7"/>
    <w:rsid w:val="00660A56"/>
    <w:rsid w:val="00664189"/>
    <w:rsid w:val="0068743D"/>
    <w:rsid w:val="00696A19"/>
    <w:rsid w:val="006A3FAB"/>
    <w:rsid w:val="00701597"/>
    <w:rsid w:val="00716963"/>
    <w:rsid w:val="007366A9"/>
    <w:rsid w:val="00740345"/>
    <w:rsid w:val="00753C71"/>
    <w:rsid w:val="007671C4"/>
    <w:rsid w:val="0077154E"/>
    <w:rsid w:val="00795E56"/>
    <w:rsid w:val="007A0EBC"/>
    <w:rsid w:val="007E71B6"/>
    <w:rsid w:val="007F4546"/>
    <w:rsid w:val="008233E7"/>
    <w:rsid w:val="008A1AD7"/>
    <w:rsid w:val="008B6F90"/>
    <w:rsid w:val="008D007A"/>
    <w:rsid w:val="008D2047"/>
    <w:rsid w:val="008D5404"/>
    <w:rsid w:val="008D58E8"/>
    <w:rsid w:val="008F3816"/>
    <w:rsid w:val="00904BC7"/>
    <w:rsid w:val="00910E98"/>
    <w:rsid w:val="00953E74"/>
    <w:rsid w:val="009B01F3"/>
    <w:rsid w:val="00A20D4F"/>
    <w:rsid w:val="00A936EE"/>
    <w:rsid w:val="00AA57CE"/>
    <w:rsid w:val="00AE2D5B"/>
    <w:rsid w:val="00AE7415"/>
    <w:rsid w:val="00AF5978"/>
    <w:rsid w:val="00B262C4"/>
    <w:rsid w:val="00B33585"/>
    <w:rsid w:val="00B35295"/>
    <w:rsid w:val="00B50008"/>
    <w:rsid w:val="00B555C8"/>
    <w:rsid w:val="00B55CC6"/>
    <w:rsid w:val="00B70E34"/>
    <w:rsid w:val="00B80968"/>
    <w:rsid w:val="00B83476"/>
    <w:rsid w:val="00B92805"/>
    <w:rsid w:val="00BB2588"/>
    <w:rsid w:val="00BC3DDB"/>
    <w:rsid w:val="00BC498E"/>
    <w:rsid w:val="00BE1763"/>
    <w:rsid w:val="00BE7EEF"/>
    <w:rsid w:val="00C25B28"/>
    <w:rsid w:val="00C94255"/>
    <w:rsid w:val="00CA410E"/>
    <w:rsid w:val="00CC1BD3"/>
    <w:rsid w:val="00CD4F95"/>
    <w:rsid w:val="00CD770C"/>
    <w:rsid w:val="00CF14A6"/>
    <w:rsid w:val="00D6424B"/>
    <w:rsid w:val="00D768C8"/>
    <w:rsid w:val="00D90343"/>
    <w:rsid w:val="00DC5310"/>
    <w:rsid w:val="00DD5A99"/>
    <w:rsid w:val="00DF5F43"/>
    <w:rsid w:val="00E022ED"/>
    <w:rsid w:val="00E06797"/>
    <w:rsid w:val="00E17238"/>
    <w:rsid w:val="00E43C4B"/>
    <w:rsid w:val="00E60756"/>
    <w:rsid w:val="00E71449"/>
    <w:rsid w:val="00E87AC7"/>
    <w:rsid w:val="00E9016C"/>
    <w:rsid w:val="00E97FCE"/>
    <w:rsid w:val="00EE4E34"/>
    <w:rsid w:val="00EF2480"/>
    <w:rsid w:val="00F03901"/>
    <w:rsid w:val="00FE50C1"/>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76A8B"/>
  <w15:docId w15:val="{34B5FA74-4DCF-43CF-AE59-72500874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Palatino Linotype" w:hAnsi="Palatino Linotype" w:cs="Palatino Linotype"/>
        <w:lang w:val="en" w:eastAsia="en-ID"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50B"/>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3">
    <w:name w:val="3"/>
    <w:basedOn w:val="TableNormal0"/>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2">
    <w:name w:val="2"/>
    <w:basedOn w:val="TableNormal0"/>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1">
    <w:name w:val="1"/>
    <w:basedOn w:val="TableNormal0"/>
    <w:pPr>
      <w:jc w:val="center"/>
    </w:pPr>
    <w:rPr>
      <w:color w:val="000000"/>
    </w:rPr>
    <w:tblPr>
      <w:tblStyleRowBandSize w:val="1"/>
      <w:tblStyleColBandSize w:val="1"/>
      <w:tblCellMar>
        <w:top w:w="0" w:type="dxa"/>
        <w:left w:w="115" w:type="dxa"/>
        <w:bottom w:w="0" w:type="dxa"/>
        <w:right w:w="115" w:type="dxa"/>
      </w:tblCellMar>
    </w:tblPr>
    <w:tcPr>
      <w:vAlign w:val="center"/>
    </w:tc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F45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546"/>
    <w:rPr>
      <w:rFonts w:ascii="Segoe UI" w:hAnsi="Segoe UI" w:cs="Segoe UI"/>
      <w:sz w:val="18"/>
      <w:szCs w:val="18"/>
    </w:rPr>
  </w:style>
  <w:style w:type="character" w:styleId="LineNumber">
    <w:name w:val="line number"/>
    <w:basedOn w:val="DefaultParagraphFont"/>
    <w:uiPriority w:val="99"/>
    <w:semiHidden/>
    <w:unhideWhenUsed/>
    <w:rsid w:val="007F4546"/>
  </w:style>
  <w:style w:type="paragraph" w:styleId="Footer">
    <w:name w:val="footer"/>
    <w:basedOn w:val="Normal"/>
    <w:link w:val="FooterChar"/>
    <w:uiPriority w:val="99"/>
    <w:unhideWhenUsed/>
    <w:rsid w:val="000643C5"/>
    <w:pPr>
      <w:tabs>
        <w:tab w:val="center" w:pos="4513"/>
        <w:tab w:val="right" w:pos="9026"/>
      </w:tabs>
    </w:pPr>
  </w:style>
  <w:style w:type="character" w:customStyle="1" w:styleId="FooterChar">
    <w:name w:val="Footer Char"/>
    <w:basedOn w:val="DefaultParagraphFont"/>
    <w:link w:val="Footer"/>
    <w:uiPriority w:val="99"/>
    <w:rsid w:val="000643C5"/>
  </w:style>
  <w:style w:type="character" w:styleId="Hyperlink">
    <w:name w:val="Hyperlink"/>
    <w:basedOn w:val="DefaultParagraphFont"/>
    <w:uiPriority w:val="99"/>
    <w:unhideWhenUsed/>
    <w:rsid w:val="00910E98"/>
    <w:rPr>
      <w:color w:val="0000FF" w:themeColor="hyperlink"/>
      <w:u w:val="single"/>
    </w:rPr>
  </w:style>
  <w:style w:type="character" w:styleId="UnresolvedMention">
    <w:name w:val="Unresolved Mention"/>
    <w:basedOn w:val="DefaultParagraphFont"/>
    <w:uiPriority w:val="99"/>
    <w:semiHidden/>
    <w:unhideWhenUsed/>
    <w:rsid w:val="00910E98"/>
    <w:rPr>
      <w:color w:val="605E5C"/>
      <w:shd w:val="clear" w:color="auto" w:fill="E1DFDD"/>
    </w:rPr>
  </w:style>
  <w:style w:type="paragraph" w:styleId="Caption">
    <w:name w:val="caption"/>
    <w:basedOn w:val="Normal"/>
    <w:next w:val="Normal"/>
    <w:link w:val="CaptionChar"/>
    <w:uiPriority w:val="35"/>
    <w:unhideWhenUsed/>
    <w:qFormat/>
    <w:rsid w:val="00B80968"/>
    <w:pPr>
      <w:spacing w:after="200" w:line="276" w:lineRule="auto"/>
      <w:jc w:val="left"/>
    </w:pPr>
    <w:rPr>
      <w:rFonts w:ascii="Calibri" w:eastAsia="Calibri" w:hAnsi="Calibri" w:cs="Times New Roman"/>
      <w:b/>
      <w:bCs/>
      <w:lang w:val="x-none" w:eastAsia="x-none"/>
    </w:rPr>
  </w:style>
  <w:style w:type="character" w:customStyle="1" w:styleId="CaptionChar">
    <w:name w:val="Caption Char"/>
    <w:link w:val="Caption"/>
    <w:uiPriority w:val="35"/>
    <w:rsid w:val="00B80968"/>
    <w:rPr>
      <w:rFonts w:ascii="Calibri" w:eastAsia="Calibri" w:hAnsi="Calibri" w:cs="Times New Roman"/>
      <w:b/>
      <w:bCs/>
      <w:lang w:val="x-none" w:eastAsia="x-none"/>
    </w:rPr>
  </w:style>
  <w:style w:type="character" w:styleId="FollowedHyperlink">
    <w:name w:val="FollowedHyperlink"/>
    <w:basedOn w:val="DefaultParagraphFont"/>
    <w:uiPriority w:val="99"/>
    <w:semiHidden/>
    <w:unhideWhenUsed/>
    <w:rsid w:val="005D550B"/>
    <w:rPr>
      <w:color w:val="800080" w:themeColor="followedHyperlink"/>
      <w:u w:val="single"/>
    </w:rPr>
  </w:style>
  <w:style w:type="paragraph" w:styleId="ListParagraph">
    <w:name w:val="List Paragraph"/>
    <w:basedOn w:val="Normal"/>
    <w:uiPriority w:val="34"/>
    <w:qFormat/>
    <w:rsid w:val="007A0E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112201">
      <w:bodyDiv w:val="1"/>
      <w:marLeft w:val="0"/>
      <w:marRight w:val="0"/>
      <w:marTop w:val="0"/>
      <w:marBottom w:val="0"/>
      <w:divBdr>
        <w:top w:val="none" w:sz="0" w:space="0" w:color="auto"/>
        <w:left w:val="none" w:sz="0" w:space="0" w:color="auto"/>
        <w:bottom w:val="none" w:sz="0" w:space="0" w:color="auto"/>
        <w:right w:val="none" w:sz="0" w:space="0" w:color="auto"/>
      </w:divBdr>
    </w:div>
    <w:div w:id="1370447210">
      <w:bodyDiv w:val="1"/>
      <w:marLeft w:val="0"/>
      <w:marRight w:val="0"/>
      <w:marTop w:val="0"/>
      <w:marBottom w:val="0"/>
      <w:divBdr>
        <w:top w:val="none" w:sz="0" w:space="0" w:color="auto"/>
        <w:left w:val="none" w:sz="0" w:space="0" w:color="auto"/>
        <w:bottom w:val="none" w:sz="0" w:space="0" w:color="auto"/>
        <w:right w:val="none" w:sz="0" w:space="0" w:color="auto"/>
      </w:divBdr>
    </w:div>
    <w:div w:id="2104061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bonardo51@ui.ac.id" TargetMode="External"/><Relationship Id="rId13" Type="http://schemas.openxmlformats.org/officeDocument/2006/relationships/footer" Target="footer2.xml"/><Relationship Id="rId18" Type="http://schemas.openxmlformats.org/officeDocument/2006/relationships/hyperlink" Target="https://doi.org/10.1088/1748-9326/adc8b9" TargetMode="External"/><Relationship Id="rId26" Type="http://schemas.openxmlformats.org/officeDocument/2006/relationships/hyperlink" Target="https://doi.org/10.47613/reflektif.2026.263" TargetMode="External"/><Relationship Id="rId39" Type="http://schemas.openxmlformats.org/officeDocument/2006/relationships/hyperlink" Target="https://doi.org/10.4324/9780203804919-4" TargetMode="External"/><Relationship Id="rId3" Type="http://schemas.openxmlformats.org/officeDocument/2006/relationships/styles" Target="styles.xml"/><Relationship Id="rId21" Type="http://schemas.openxmlformats.org/officeDocument/2006/relationships/hyperlink" Target="https://doi.org/10.1080/15435075.2019.1685998" TargetMode="External"/><Relationship Id="rId34" Type="http://schemas.openxmlformats.org/officeDocument/2006/relationships/hyperlink" Target="https://doi.org/10.3390/su14095439" TargetMode="External"/><Relationship Id="rId42" Type="http://schemas.openxmlformats.org/officeDocument/2006/relationships/hyperlink" Target="https://doi.org/10.1080/10455752.2025.2607977"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2991/978-2-38476-218-7_113" TargetMode="External"/><Relationship Id="rId25" Type="http://schemas.openxmlformats.org/officeDocument/2006/relationships/hyperlink" Target="https://jglobal.jst.go.jp/en/detail?JGLOBAL_ID=201302239098499714" TargetMode="External"/><Relationship Id="rId33" Type="http://schemas.openxmlformats.org/officeDocument/2006/relationships/hyperlink" Target="https://doi.org/10.5755/j01.erem.79.2.33331" TargetMode="External"/><Relationship Id="rId38" Type="http://schemas.openxmlformats.org/officeDocument/2006/relationships/hyperlink" Target="https://doi.org/10.1016/j.erss.2021.101916" TargetMode="External"/><Relationship Id="rId46" Type="http://schemas.openxmlformats.org/officeDocument/2006/relationships/hyperlink" Target="mailto:andre.bonardo51@ui.ac.id" TargetMode="External"/><Relationship Id="rId2" Type="http://schemas.openxmlformats.org/officeDocument/2006/relationships/numbering" Target="numbering.xml"/><Relationship Id="rId16" Type="http://schemas.openxmlformats.org/officeDocument/2006/relationships/hyperlink" Target="http://creativecommons.org/licenses/by/4.0/" TargetMode="External"/><Relationship Id="rId20" Type="http://schemas.openxmlformats.org/officeDocument/2006/relationships/hyperlink" Target="https://doi.org/10.1080/01436597.2025.2555484" TargetMode="External"/><Relationship Id="rId29" Type="http://schemas.openxmlformats.org/officeDocument/2006/relationships/hyperlink" Target="https://doi.org/10.1016/S0301-4215(02)00063-0" TargetMode="External"/><Relationship Id="rId41" Type="http://schemas.openxmlformats.org/officeDocument/2006/relationships/hyperlink" Target="https://doi.org/10.1016/j.renene.2025.1249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oi.org/10.1007/s11625-026-01830-y" TargetMode="External"/><Relationship Id="rId32" Type="http://schemas.openxmlformats.org/officeDocument/2006/relationships/hyperlink" Target="https://doi.org/10.1007/978-94-007-5332-7" TargetMode="External"/><Relationship Id="rId37" Type="http://schemas.openxmlformats.org/officeDocument/2006/relationships/hyperlink" Target="https://doi.org/10.18280/ijepm.090305" TargetMode="External"/><Relationship Id="rId40" Type="http://schemas.openxmlformats.org/officeDocument/2006/relationships/hyperlink" Target="https://doi.org/10.1016/j.worlddev.2024.106906" TargetMode="External"/><Relationship Id="rId45" Type="http://schemas.openxmlformats.org/officeDocument/2006/relationships/hyperlink" Target="https://doi.org/10.3390/en15145009"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1080/03068374.2020.1835000" TargetMode="External"/><Relationship Id="rId28" Type="http://schemas.openxmlformats.org/officeDocument/2006/relationships/hyperlink" Target="https://papers.ssrn.com/sol3/papers.cfm?abstract_id=5290188" TargetMode="External"/><Relationship Id="rId36" Type="http://schemas.openxmlformats.org/officeDocument/2006/relationships/hyperlink" Target="https://doi.org/10.1051/bioconf/202520101004" TargetMode="External"/><Relationship Id="rId10" Type="http://schemas.openxmlformats.org/officeDocument/2006/relationships/header" Target="header2.xml"/><Relationship Id="rId19" Type="http://schemas.openxmlformats.org/officeDocument/2006/relationships/hyperlink" Target="https://doi.org/10.3390/land14051104" TargetMode="External"/><Relationship Id="rId31" Type="http://schemas.openxmlformats.org/officeDocument/2006/relationships/hyperlink" Target="https://doi.org/10.1088/1755-1315/106/1/012084" TargetMode="External"/><Relationship Id="rId44" Type="http://schemas.openxmlformats.org/officeDocument/2006/relationships/hyperlink" Target="https://doi.org/10.1080/17524032.2022.214440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www.erlacs.org" TargetMode="External"/><Relationship Id="rId27" Type="http://schemas.openxmlformats.org/officeDocument/2006/relationships/hyperlink" Target="https://doi.org/10.3390/en14217033" TargetMode="External"/><Relationship Id="rId30" Type="http://schemas.openxmlformats.org/officeDocument/2006/relationships/hyperlink" Target="https://doi.org/10.1080/09540100120094492" TargetMode="External"/><Relationship Id="rId35" Type="http://schemas.openxmlformats.org/officeDocument/2006/relationships/hyperlink" Target="https://doi.org/10.1016/j.envsci.2025.104154" TargetMode="External"/><Relationship Id="rId43" Type="http://schemas.openxmlformats.org/officeDocument/2006/relationships/hyperlink" Target="https://doi.org/10.1080/03066150.2025.2606878" TargetMode="External"/><Relationship Id="rId48"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s://doi.org/10.61511/bioculture.v4i1.2026.3861"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creativecommons.org/licenses/by/4.0/" TargetMode="External"/><Relationship Id="rId1" Type="http://schemas.openxmlformats.org/officeDocument/2006/relationships/hyperlink" Target="https://doi.org/10.61511/bioculture.v4i1.2026.3861" TargetMode="External"/><Relationship Id="rId4" Type="http://schemas.openxmlformats.org/officeDocument/2006/relationships/hyperlink" Target="https://doi.org/10.61511/bioculture.v4i1.2026.3861"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journal-iasssf.com/index.php/Bioculture" TargetMode="External"/><Relationship Id="rId2" Type="http://schemas.openxmlformats.org/officeDocument/2006/relationships/hyperlink" Target="https://journal-iasssf.com/index.php/Bioculture" TargetMode="External"/><Relationship Id="rId1" Type="http://schemas.openxmlformats.org/officeDocument/2006/relationships/image" Target="media/image1.png"/><Relationship Id="rId4" Type="http://schemas.openxmlformats.org/officeDocument/2006/relationships/hyperlink" Target="https://issn.brin.go.id/terbit/detail/202308191717832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218EA-D651-48A6-A000-B398B3887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19</Pages>
  <Words>10998</Words>
  <Characters>62695</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Pro</dc:creator>
  <cp:keywords/>
  <dc:description/>
  <cp:lastModifiedBy>Esa Geniusa</cp:lastModifiedBy>
  <cp:revision>33</cp:revision>
  <cp:lastPrinted>2026-09-22T07:07:00Z</cp:lastPrinted>
  <dcterms:created xsi:type="dcterms:W3CDTF">2026-09-09T09:26:00Z</dcterms:created>
  <dcterms:modified xsi:type="dcterms:W3CDTF">2026-09-22T07:07:00Z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3afb34edf32cae74df05dee3033b5ceaea961cc6d0a74759af06f6b0eded2245</vt:lpwstr>
  </property>
</Properties>
</file>